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AB841">
      <w:pPr>
        <w:pStyle w:val="7"/>
        <w:rPr>
          <w:rFonts w:hint="eastAsia" w:ascii="宋体" w:hAnsi="宋体" w:eastAsia="宋体" w:cs="宋体"/>
          <w:color w:val="auto"/>
          <w:kern w:val="0"/>
          <w:sz w:val="30"/>
          <w:szCs w:val="30"/>
          <w:highlight w:val="none"/>
          <w:shd w:val="clear" w:color="auto" w:fill="auto"/>
        </w:rPr>
      </w:pPr>
      <w:r>
        <w:rPr>
          <w:rFonts w:hint="eastAsia" w:ascii="宋体" w:hAnsi="宋体" w:eastAsia="宋体" w:cs="宋体"/>
          <w:color w:val="auto"/>
          <w:kern w:val="0"/>
          <w:sz w:val="30"/>
          <w:szCs w:val="30"/>
          <w:highlight w:val="none"/>
          <w:shd w:val="clear" w:color="auto" w:fill="auto"/>
        </w:rPr>
        <w:t xml:space="preserve">                                                                                                                                                                                                                                                                                                                      </w:t>
      </w:r>
    </w:p>
    <w:p w14:paraId="0D1B6189">
      <w:pPr>
        <w:spacing w:line="360" w:lineRule="auto"/>
        <w:rPr>
          <w:rFonts w:hint="eastAsia" w:ascii="宋体" w:hAnsi="宋体" w:eastAsia="宋体" w:cs="宋体"/>
          <w:b/>
          <w:sz w:val="32"/>
          <w:highlight w:val="none"/>
        </w:rPr>
      </w:pPr>
      <w:bookmarkStart w:id="0" w:name="_Toc328733251"/>
      <w:bookmarkStart w:id="1" w:name="_Toc9216"/>
      <w:bookmarkStart w:id="2" w:name="_Toc14870"/>
      <w:bookmarkStart w:id="3" w:name="_Toc23409"/>
      <w:bookmarkStart w:id="4" w:name="_Toc524440141"/>
      <w:bookmarkStart w:id="5" w:name="_Toc19913"/>
      <w:r>
        <w:rPr>
          <w:rFonts w:hint="eastAsia" w:ascii="宋体" w:hAnsi="宋体" w:eastAsia="宋体" w:cs="宋体"/>
          <w:sz w:val="52"/>
          <w:szCs w:val="52"/>
          <w:highlight w:val="none"/>
        </w:rPr>
        <w:drawing>
          <wp:inline distT="0" distB="0" distL="114300" distR="114300">
            <wp:extent cx="1496060" cy="469900"/>
            <wp:effectExtent l="0" t="0" r="8890" b="6350"/>
            <wp:docPr id="4" name="图片 1" descr="d061cbcda31ae81aa792b407322c2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d061cbcda31ae81aa792b407322c20e"/>
                    <pic:cNvPicPr>
                      <a:picLocks noChangeAspect="1"/>
                    </pic:cNvPicPr>
                  </pic:nvPicPr>
                  <pic:blipFill>
                    <a:blip r:embed="rId20"/>
                    <a:stretch>
                      <a:fillRect/>
                    </a:stretch>
                  </pic:blipFill>
                  <pic:spPr>
                    <a:xfrm>
                      <a:off x="0" y="0"/>
                      <a:ext cx="1496060" cy="469900"/>
                    </a:xfrm>
                    <a:prstGeom prst="rect">
                      <a:avLst/>
                    </a:prstGeom>
                    <a:noFill/>
                    <a:ln>
                      <a:noFill/>
                    </a:ln>
                  </pic:spPr>
                </pic:pic>
              </a:graphicData>
            </a:graphic>
          </wp:inline>
        </w:drawing>
      </w:r>
      <w:r>
        <w:rPr>
          <w:rFonts w:hint="eastAsia" w:ascii="宋体" w:hAnsi="宋体" w:eastAsia="宋体" w:cs="宋体"/>
          <w:sz w:val="52"/>
          <w:szCs w:val="52"/>
          <w:highlight w:val="none"/>
        </w:rPr>
        <w:t xml:space="preserve">      </w:t>
      </w:r>
      <w:r>
        <w:rPr>
          <w:rFonts w:hint="eastAsia" w:ascii="宋体" w:hAnsi="宋体" w:eastAsia="宋体" w:cs="宋体"/>
          <w:sz w:val="52"/>
          <w:szCs w:val="52"/>
          <w:highlight w:val="none"/>
          <w:lang w:val="en-US" w:eastAsia="zh-CN"/>
        </w:rPr>
        <w:t xml:space="preserve">  </w:t>
      </w:r>
      <w:r>
        <w:rPr>
          <w:rFonts w:hint="eastAsia" w:ascii="宋体" w:hAnsi="宋体" w:eastAsia="宋体" w:cs="宋体"/>
          <w:b/>
          <w:sz w:val="28"/>
          <w:szCs w:val="28"/>
          <w:highlight w:val="none"/>
        </w:rPr>
        <w:t>采购项目编号：</w:t>
      </w:r>
      <w:r>
        <w:rPr>
          <w:rFonts w:hint="eastAsia" w:ascii="宋体" w:hAnsi="宋体" w:eastAsia="宋体" w:cs="宋体"/>
          <w:b/>
          <w:sz w:val="28"/>
          <w:szCs w:val="28"/>
          <w:highlight w:val="none"/>
          <w:lang w:eastAsia="zh-CN"/>
        </w:rPr>
        <w:t>HZJZS2026-0158</w:t>
      </w:r>
    </w:p>
    <w:p w14:paraId="216640BD">
      <w:pPr>
        <w:spacing w:line="360" w:lineRule="auto"/>
        <w:rPr>
          <w:rFonts w:hint="eastAsia" w:ascii="宋体" w:hAnsi="宋体" w:eastAsia="宋体" w:cs="宋体"/>
          <w:b/>
          <w:sz w:val="32"/>
          <w:highlight w:val="none"/>
        </w:rPr>
      </w:pPr>
    </w:p>
    <w:p w14:paraId="1758FA39">
      <w:pPr>
        <w:spacing w:line="360" w:lineRule="auto"/>
        <w:rPr>
          <w:rFonts w:hint="eastAsia" w:ascii="宋体" w:hAnsi="宋体" w:eastAsia="宋体" w:cs="宋体"/>
          <w:sz w:val="32"/>
          <w:szCs w:val="32"/>
          <w:highlight w:val="none"/>
        </w:rPr>
      </w:pPr>
    </w:p>
    <w:p w14:paraId="2CAEB14F">
      <w:pPr>
        <w:pStyle w:val="18"/>
        <w:spacing w:line="480" w:lineRule="auto"/>
        <w:jc w:val="center"/>
        <w:rPr>
          <w:rFonts w:hint="eastAsia" w:ascii="宋体" w:hAnsi="宋体" w:eastAsia="宋体" w:cs="宋体"/>
          <w:b/>
          <w:sz w:val="36"/>
          <w:szCs w:val="36"/>
          <w:highlight w:val="none"/>
          <w:lang w:eastAsia="zh-CN"/>
        </w:rPr>
      </w:pPr>
      <w:r>
        <w:rPr>
          <w:rFonts w:hint="eastAsia" w:ascii="宋体" w:hAnsi="宋体" w:eastAsia="宋体" w:cs="宋体"/>
          <w:b/>
          <w:sz w:val="36"/>
          <w:szCs w:val="36"/>
          <w:highlight w:val="none"/>
          <w:lang w:eastAsia="zh-CN"/>
        </w:rPr>
        <w:t>咸阳市秦都区人民法院档案信息化设施设备项目</w:t>
      </w:r>
    </w:p>
    <w:p w14:paraId="4C3EA03F">
      <w:pPr>
        <w:pStyle w:val="18"/>
        <w:spacing w:line="480" w:lineRule="auto"/>
        <w:jc w:val="both"/>
        <w:rPr>
          <w:rFonts w:hint="eastAsia" w:ascii="宋体" w:hAnsi="宋体" w:eastAsia="宋体" w:cs="宋体"/>
          <w:b/>
          <w:sz w:val="52"/>
          <w:szCs w:val="52"/>
          <w:highlight w:val="none"/>
          <w:lang w:val="en-US" w:eastAsia="zh-CN"/>
        </w:rPr>
      </w:pPr>
    </w:p>
    <w:p w14:paraId="262F6168">
      <w:pPr>
        <w:pStyle w:val="18"/>
        <w:spacing w:line="480" w:lineRule="auto"/>
        <w:jc w:val="both"/>
        <w:rPr>
          <w:rFonts w:hint="eastAsia" w:ascii="宋体" w:hAnsi="宋体" w:eastAsia="宋体" w:cs="宋体"/>
          <w:b/>
          <w:sz w:val="52"/>
          <w:szCs w:val="52"/>
          <w:highlight w:val="none"/>
          <w:lang w:val="en-US" w:eastAsia="zh-CN"/>
        </w:rPr>
      </w:pPr>
    </w:p>
    <w:p w14:paraId="63B8423F">
      <w:pPr>
        <w:pStyle w:val="18"/>
        <w:spacing w:line="480" w:lineRule="auto"/>
        <w:jc w:val="center"/>
        <w:rPr>
          <w:rFonts w:hint="eastAsia" w:ascii="宋体" w:hAnsi="宋体" w:eastAsia="宋体" w:cs="宋体"/>
          <w:b/>
          <w:sz w:val="72"/>
          <w:szCs w:val="72"/>
          <w:highlight w:val="none"/>
        </w:rPr>
      </w:pPr>
      <w:r>
        <w:rPr>
          <w:rFonts w:hint="eastAsia" w:ascii="宋体" w:hAnsi="宋体" w:eastAsia="宋体" w:cs="宋体"/>
          <w:b/>
          <w:sz w:val="72"/>
          <w:szCs w:val="72"/>
          <w:highlight w:val="none"/>
          <w:lang w:val="en-US" w:eastAsia="zh-CN"/>
        </w:rPr>
        <w:t>招标</w:t>
      </w:r>
      <w:r>
        <w:rPr>
          <w:rFonts w:hint="eastAsia" w:ascii="宋体" w:hAnsi="宋体" w:eastAsia="宋体" w:cs="宋体"/>
          <w:b/>
          <w:sz w:val="72"/>
          <w:szCs w:val="72"/>
          <w:highlight w:val="none"/>
        </w:rPr>
        <w:t>文件</w:t>
      </w:r>
    </w:p>
    <w:p w14:paraId="4A7F141A">
      <w:pPr>
        <w:pStyle w:val="18"/>
        <w:spacing w:line="480" w:lineRule="auto"/>
        <w:rPr>
          <w:rFonts w:hint="eastAsia" w:ascii="宋体" w:hAnsi="宋体" w:eastAsia="宋体" w:cs="宋体"/>
          <w:b/>
          <w:sz w:val="44"/>
          <w:szCs w:val="44"/>
          <w:highlight w:val="none"/>
        </w:rPr>
      </w:pPr>
    </w:p>
    <w:p w14:paraId="04A01C9E">
      <w:pPr>
        <w:snapToGrid w:val="0"/>
        <w:spacing w:line="860" w:lineRule="exact"/>
        <w:rPr>
          <w:rFonts w:hint="eastAsia" w:ascii="宋体" w:hAnsi="宋体" w:eastAsia="宋体" w:cs="宋体"/>
          <w:b/>
          <w:sz w:val="32"/>
          <w:highlight w:val="none"/>
        </w:rPr>
      </w:pPr>
    </w:p>
    <w:p w14:paraId="6C169AC2">
      <w:pPr>
        <w:snapToGrid w:val="0"/>
        <w:spacing w:line="480" w:lineRule="auto"/>
        <w:jc w:val="center"/>
        <w:rPr>
          <w:rFonts w:hint="eastAsia" w:ascii="宋体" w:hAnsi="宋体" w:eastAsia="宋体" w:cs="宋体"/>
          <w:b/>
          <w:sz w:val="32"/>
          <w:highlight w:val="none"/>
        </w:rPr>
      </w:pPr>
      <w:r>
        <w:rPr>
          <w:rFonts w:hint="eastAsia" w:ascii="宋体" w:hAnsi="宋体" w:eastAsia="宋体" w:cs="宋体"/>
          <w:b/>
          <w:sz w:val="32"/>
          <w:highlight w:val="none"/>
        </w:rPr>
        <w:t>采购人：</w:t>
      </w:r>
      <w:r>
        <w:rPr>
          <w:rFonts w:hint="eastAsia" w:ascii="宋体" w:hAnsi="宋体" w:eastAsia="宋体" w:cs="宋体"/>
          <w:b/>
          <w:sz w:val="32"/>
          <w:highlight w:val="none"/>
          <w:lang w:eastAsia="zh-CN"/>
        </w:rPr>
        <w:t>咸阳市</w:t>
      </w:r>
      <w:r>
        <w:rPr>
          <w:rFonts w:hint="eastAsia" w:ascii="宋体" w:hAnsi="宋体" w:eastAsia="宋体" w:cs="宋体"/>
          <w:b/>
          <w:sz w:val="32"/>
          <w:highlight w:val="none"/>
        </w:rPr>
        <w:t>秦都区人民法院</w:t>
      </w:r>
    </w:p>
    <w:p w14:paraId="376A8F89">
      <w:pPr>
        <w:snapToGrid w:val="0"/>
        <w:spacing w:line="480" w:lineRule="auto"/>
        <w:ind w:firstLine="1751" w:firstLineChars="545"/>
        <w:rPr>
          <w:rFonts w:hint="eastAsia" w:ascii="宋体" w:hAnsi="宋体" w:eastAsia="宋体" w:cs="宋体"/>
          <w:b/>
          <w:sz w:val="32"/>
          <w:highlight w:val="none"/>
        </w:rPr>
      </w:pPr>
      <w:r>
        <w:rPr>
          <w:rFonts w:hint="eastAsia" w:ascii="宋体" w:hAnsi="宋体" w:eastAsia="宋体" w:cs="宋体"/>
          <w:b/>
          <w:sz w:val="32"/>
          <w:highlight w:val="none"/>
        </w:rPr>
        <w:t>采购代理机构：华智建造价咨询有限公司</w:t>
      </w:r>
    </w:p>
    <w:p w14:paraId="4302333B">
      <w:pPr>
        <w:spacing w:before="168" w:beforeLines="70" w:line="480" w:lineRule="auto"/>
        <w:jc w:val="center"/>
        <w:rPr>
          <w:rFonts w:hint="eastAsia" w:ascii="宋体" w:hAnsi="宋体" w:eastAsia="宋体" w:cs="宋体"/>
          <w:b/>
          <w:bCs/>
          <w:color w:val="auto"/>
          <w:sz w:val="32"/>
          <w:szCs w:val="32"/>
          <w:highlight w:val="none"/>
          <w:shd w:val="clear" w:color="auto" w:fill="auto"/>
        </w:rPr>
      </w:pPr>
      <w:r>
        <w:rPr>
          <w:rFonts w:hint="eastAsia" w:ascii="宋体" w:hAnsi="宋体" w:eastAsia="宋体" w:cs="宋体"/>
          <w:b/>
          <w:sz w:val="32"/>
          <w:highlight w:val="none"/>
        </w:rPr>
        <w:t>二</w:t>
      </w:r>
      <w:r>
        <w:rPr>
          <w:rFonts w:hint="eastAsia" w:ascii="宋体" w:hAnsi="宋体" w:eastAsia="宋体" w:cs="宋体"/>
          <w:b/>
          <w:sz w:val="32"/>
          <w:highlight w:val="none"/>
          <w:lang w:val="en-US" w:eastAsia="zh-CN"/>
        </w:rPr>
        <w:t>〇</w:t>
      </w:r>
      <w:r>
        <w:rPr>
          <w:rFonts w:hint="eastAsia" w:ascii="宋体" w:hAnsi="宋体" w:eastAsia="宋体" w:cs="宋体"/>
          <w:b/>
          <w:sz w:val="32"/>
          <w:highlight w:val="none"/>
        </w:rPr>
        <w:t>二</w:t>
      </w:r>
      <w:r>
        <w:rPr>
          <w:rFonts w:hint="eastAsia" w:ascii="宋体" w:hAnsi="宋体" w:eastAsia="宋体" w:cs="宋体"/>
          <w:b/>
          <w:sz w:val="32"/>
          <w:highlight w:val="none"/>
          <w:lang w:val="en-US" w:eastAsia="zh-CN"/>
        </w:rPr>
        <w:t>六</w:t>
      </w:r>
      <w:r>
        <w:rPr>
          <w:rFonts w:hint="eastAsia" w:ascii="宋体" w:hAnsi="宋体" w:eastAsia="宋体" w:cs="宋体"/>
          <w:b/>
          <w:sz w:val="32"/>
          <w:highlight w:val="none"/>
        </w:rPr>
        <w:t>年</w:t>
      </w:r>
      <w:r>
        <w:rPr>
          <w:rFonts w:hint="eastAsia" w:ascii="宋体" w:hAnsi="宋体" w:eastAsia="宋体" w:cs="宋体"/>
          <w:b/>
          <w:sz w:val="32"/>
          <w:highlight w:val="none"/>
          <w:lang w:val="en-US" w:eastAsia="zh-CN"/>
        </w:rPr>
        <w:t>六</w:t>
      </w:r>
      <w:r>
        <w:rPr>
          <w:rFonts w:hint="eastAsia" w:ascii="宋体" w:hAnsi="宋体" w:eastAsia="宋体" w:cs="宋体"/>
          <w:b/>
          <w:sz w:val="32"/>
          <w:highlight w:val="none"/>
        </w:rPr>
        <w:t>月</w:t>
      </w:r>
    </w:p>
    <w:p w14:paraId="30A8BCB0">
      <w:pPr>
        <w:widowControl/>
        <w:jc w:val="center"/>
        <w:rPr>
          <w:rFonts w:hint="eastAsia" w:ascii="宋体" w:hAnsi="宋体" w:eastAsia="宋体" w:cs="宋体"/>
          <w:b/>
          <w:color w:val="auto"/>
          <w:sz w:val="44"/>
          <w:szCs w:val="36"/>
          <w:highlight w:val="none"/>
          <w:shd w:val="clear" w:color="auto" w:fill="auto"/>
        </w:rPr>
        <w:sectPr>
          <w:headerReference r:id="rId6" w:type="first"/>
          <w:footerReference r:id="rId8" w:type="first"/>
          <w:headerReference r:id="rId5" w:type="default"/>
          <w:footerReference r:id="rId7" w:type="default"/>
          <w:pgSz w:w="11907" w:h="16840"/>
          <w:pgMar w:top="1440" w:right="1800" w:bottom="873" w:left="1800" w:header="907" w:footer="534" w:gutter="0"/>
          <w:cols w:space="720" w:num="1"/>
          <w:titlePg/>
          <w:docGrid w:linePitch="326" w:charSpace="0"/>
        </w:sectPr>
      </w:pPr>
    </w:p>
    <w:p w14:paraId="69222746">
      <w:pPr>
        <w:pStyle w:val="5"/>
        <w:jc w:val="center"/>
        <w:rPr>
          <w:rFonts w:hint="eastAsia" w:ascii="宋体" w:hAnsi="宋体" w:eastAsia="宋体" w:cs="宋体"/>
          <w:bCs w:val="0"/>
          <w:color w:val="auto"/>
          <w:kern w:val="0"/>
          <w:sz w:val="36"/>
          <w:szCs w:val="36"/>
          <w:highlight w:val="none"/>
          <w:shd w:val="clear" w:color="auto" w:fill="auto"/>
        </w:rPr>
      </w:pPr>
      <w:r>
        <w:rPr>
          <w:rFonts w:hint="eastAsia" w:ascii="宋体" w:hAnsi="宋体" w:eastAsia="宋体" w:cs="宋体"/>
          <w:bCs w:val="0"/>
          <w:color w:val="auto"/>
          <w:kern w:val="0"/>
          <w:sz w:val="36"/>
          <w:szCs w:val="36"/>
          <w:highlight w:val="none"/>
          <w:shd w:val="clear" w:color="auto" w:fill="auto"/>
        </w:rPr>
        <w:t>目  录</w:t>
      </w:r>
      <w:bookmarkEnd w:id="0"/>
      <w:bookmarkEnd w:id="1"/>
      <w:bookmarkEnd w:id="2"/>
      <w:bookmarkEnd w:id="3"/>
      <w:bookmarkEnd w:id="4"/>
      <w:bookmarkEnd w:id="5"/>
    </w:p>
    <w:p w14:paraId="7EBB88CC">
      <w:pPr>
        <w:pStyle w:val="11"/>
        <w:tabs>
          <w:tab w:val="right" w:leader="dot" w:pos="9070"/>
          <w:tab w:val="clear" w:pos="9000"/>
        </w:tabs>
        <w:rPr>
          <w:rFonts w:hint="eastAsia" w:ascii="宋体" w:hAnsi="宋体" w:eastAsia="宋体" w:cs="宋体"/>
          <w:color w:val="auto"/>
          <w:sz w:val="24"/>
          <w:szCs w:val="32"/>
          <w:highlight w:val="none"/>
          <w:shd w:val="clear" w:color="auto" w:fill="auto"/>
        </w:rPr>
      </w:pPr>
      <w:r>
        <w:rPr>
          <w:rFonts w:hint="eastAsia" w:ascii="宋体" w:hAnsi="宋体" w:eastAsia="宋体" w:cs="宋体"/>
          <w:color w:val="auto"/>
          <w:highlight w:val="none"/>
          <w:shd w:val="clear" w:color="auto" w:fill="auto"/>
        </w:rPr>
        <w:fldChar w:fldCharType="begin"/>
      </w:r>
      <w:r>
        <w:rPr>
          <w:rFonts w:hint="eastAsia" w:ascii="宋体" w:hAnsi="宋体" w:eastAsia="宋体" w:cs="宋体"/>
          <w:color w:val="auto"/>
          <w:highlight w:val="none"/>
          <w:shd w:val="clear" w:color="auto" w:fill="auto"/>
        </w:rPr>
        <w:instrText xml:space="preserve">TOC \o "1-1" \h \u </w:instrText>
      </w:r>
      <w:r>
        <w:rPr>
          <w:rFonts w:hint="eastAsia" w:ascii="宋体" w:hAnsi="宋体" w:eastAsia="宋体" w:cs="宋体"/>
          <w:color w:val="auto"/>
          <w:highlight w:val="none"/>
          <w:shd w:val="clear" w:color="auto" w:fill="auto"/>
        </w:rPr>
        <w:fldChar w:fldCharType="separate"/>
      </w: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HYPERLINK \l _Toc13088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40"/>
          <w:highlight w:val="none"/>
          <w:shd w:val="clear" w:color="auto" w:fill="auto"/>
        </w:rPr>
        <w:t>第一</w:t>
      </w:r>
      <w:r>
        <w:rPr>
          <w:rFonts w:hint="eastAsia" w:ascii="宋体" w:hAnsi="宋体" w:eastAsia="宋体" w:cs="宋体"/>
          <w:color w:val="auto"/>
          <w:sz w:val="24"/>
          <w:szCs w:val="40"/>
          <w:highlight w:val="none"/>
          <w:shd w:val="clear" w:color="auto" w:fill="auto"/>
          <w:lang w:eastAsia="zh-CN"/>
        </w:rPr>
        <w:t>章</w:t>
      </w:r>
      <w:r>
        <w:rPr>
          <w:rFonts w:hint="eastAsia" w:ascii="宋体" w:hAnsi="宋体" w:eastAsia="宋体" w:cs="宋体"/>
          <w:color w:val="auto"/>
          <w:sz w:val="24"/>
          <w:szCs w:val="40"/>
          <w:highlight w:val="none"/>
          <w:shd w:val="clear" w:color="auto" w:fill="auto"/>
        </w:rPr>
        <w:t xml:space="preserve">  招标公告</w:t>
      </w:r>
      <w:r>
        <w:rPr>
          <w:rFonts w:hint="eastAsia" w:ascii="宋体" w:hAnsi="宋体" w:eastAsia="宋体" w:cs="宋体"/>
          <w:color w:val="auto"/>
          <w:sz w:val="24"/>
          <w:szCs w:val="32"/>
          <w:highlight w:val="none"/>
          <w:shd w:val="clear" w:color="auto" w:fill="auto"/>
        </w:rPr>
        <w:tab/>
      </w: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PAGEREF _Toc13088 \h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32"/>
          <w:highlight w:val="none"/>
          <w:shd w:val="clear" w:color="auto" w:fill="auto"/>
        </w:rPr>
        <w:t>2</w:t>
      </w:r>
      <w:r>
        <w:rPr>
          <w:rFonts w:hint="eastAsia" w:ascii="宋体" w:hAnsi="宋体" w:eastAsia="宋体" w:cs="宋体"/>
          <w:color w:val="auto"/>
          <w:sz w:val="24"/>
          <w:szCs w:val="32"/>
          <w:highlight w:val="none"/>
          <w:shd w:val="clear" w:color="auto" w:fill="auto"/>
        </w:rPr>
        <w:fldChar w:fldCharType="end"/>
      </w:r>
      <w:r>
        <w:rPr>
          <w:rFonts w:hint="eastAsia" w:ascii="宋体" w:hAnsi="宋体" w:eastAsia="宋体" w:cs="宋体"/>
          <w:color w:val="auto"/>
          <w:sz w:val="24"/>
          <w:szCs w:val="32"/>
          <w:highlight w:val="none"/>
          <w:shd w:val="clear" w:color="auto" w:fill="auto"/>
        </w:rPr>
        <w:fldChar w:fldCharType="end"/>
      </w:r>
    </w:p>
    <w:p w14:paraId="58723611">
      <w:pPr>
        <w:pStyle w:val="11"/>
        <w:tabs>
          <w:tab w:val="right" w:leader="dot" w:pos="9070"/>
          <w:tab w:val="clear" w:pos="9000"/>
        </w:tabs>
        <w:rPr>
          <w:rFonts w:hint="eastAsia" w:ascii="宋体" w:hAnsi="宋体" w:eastAsia="宋体" w:cs="宋体"/>
          <w:color w:val="auto"/>
          <w:sz w:val="24"/>
          <w:szCs w:val="32"/>
          <w:highlight w:val="none"/>
          <w:shd w:val="clear" w:color="auto" w:fill="auto"/>
        </w:rPr>
      </w:pP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HYPERLINK \l _Toc26216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40"/>
          <w:highlight w:val="none"/>
          <w:shd w:val="clear" w:color="auto" w:fill="auto"/>
          <w:lang w:eastAsia="zh-CN"/>
        </w:rPr>
        <w:t>第二章</w:t>
      </w:r>
      <w:r>
        <w:rPr>
          <w:rFonts w:hint="eastAsia" w:ascii="宋体" w:hAnsi="宋体" w:eastAsia="宋体" w:cs="宋体"/>
          <w:color w:val="auto"/>
          <w:sz w:val="24"/>
          <w:szCs w:val="40"/>
          <w:highlight w:val="none"/>
          <w:shd w:val="clear" w:color="auto" w:fill="auto"/>
          <w:lang w:val="en-US" w:eastAsia="zh-CN"/>
        </w:rPr>
        <w:t xml:space="preserve">  </w:t>
      </w:r>
      <w:r>
        <w:rPr>
          <w:rFonts w:hint="eastAsia" w:ascii="宋体" w:hAnsi="宋体" w:eastAsia="宋体" w:cs="宋体"/>
          <w:color w:val="auto"/>
          <w:sz w:val="24"/>
          <w:szCs w:val="40"/>
          <w:highlight w:val="none"/>
          <w:shd w:val="clear" w:color="auto" w:fill="auto"/>
          <w:lang w:eastAsia="zh-CN"/>
        </w:rPr>
        <w:t>供应商</w:t>
      </w:r>
      <w:r>
        <w:rPr>
          <w:rFonts w:hint="eastAsia" w:ascii="宋体" w:hAnsi="宋体" w:eastAsia="宋体" w:cs="宋体"/>
          <w:color w:val="auto"/>
          <w:sz w:val="24"/>
          <w:szCs w:val="40"/>
          <w:highlight w:val="none"/>
          <w:shd w:val="clear" w:color="auto" w:fill="auto"/>
        </w:rPr>
        <w:t>须知</w:t>
      </w:r>
      <w:r>
        <w:rPr>
          <w:rFonts w:hint="eastAsia" w:ascii="宋体" w:hAnsi="宋体" w:eastAsia="宋体" w:cs="宋体"/>
          <w:color w:val="auto"/>
          <w:sz w:val="24"/>
          <w:szCs w:val="32"/>
          <w:highlight w:val="none"/>
          <w:shd w:val="clear" w:color="auto" w:fill="auto"/>
        </w:rPr>
        <w:tab/>
      </w: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PAGEREF _Toc26216 \h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32"/>
          <w:highlight w:val="none"/>
          <w:shd w:val="clear" w:color="auto" w:fill="auto"/>
        </w:rPr>
        <w:t>6</w:t>
      </w:r>
      <w:r>
        <w:rPr>
          <w:rFonts w:hint="eastAsia" w:ascii="宋体" w:hAnsi="宋体" w:eastAsia="宋体" w:cs="宋体"/>
          <w:color w:val="auto"/>
          <w:sz w:val="24"/>
          <w:szCs w:val="32"/>
          <w:highlight w:val="none"/>
          <w:shd w:val="clear" w:color="auto" w:fill="auto"/>
        </w:rPr>
        <w:fldChar w:fldCharType="end"/>
      </w:r>
      <w:r>
        <w:rPr>
          <w:rFonts w:hint="eastAsia" w:ascii="宋体" w:hAnsi="宋体" w:eastAsia="宋体" w:cs="宋体"/>
          <w:color w:val="auto"/>
          <w:sz w:val="24"/>
          <w:szCs w:val="32"/>
          <w:highlight w:val="none"/>
          <w:shd w:val="clear" w:color="auto" w:fill="auto"/>
        </w:rPr>
        <w:fldChar w:fldCharType="end"/>
      </w:r>
    </w:p>
    <w:p w14:paraId="008C4937">
      <w:pPr>
        <w:pStyle w:val="11"/>
        <w:tabs>
          <w:tab w:val="right" w:leader="dot" w:pos="9070"/>
          <w:tab w:val="clear" w:pos="9000"/>
        </w:tabs>
        <w:rPr>
          <w:rFonts w:hint="eastAsia" w:ascii="宋体" w:hAnsi="宋体" w:eastAsia="宋体" w:cs="宋体"/>
          <w:color w:val="auto"/>
          <w:sz w:val="24"/>
          <w:szCs w:val="32"/>
          <w:highlight w:val="none"/>
          <w:shd w:val="clear" w:color="auto" w:fill="auto"/>
        </w:rPr>
      </w:pP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HYPERLINK \l _Toc8439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32"/>
          <w:highlight w:val="none"/>
          <w:shd w:val="clear" w:color="auto" w:fill="auto"/>
          <w:lang w:val="en-US" w:eastAsia="zh-CN"/>
        </w:rPr>
        <w:t>第三章  评标办法</w:t>
      </w:r>
      <w:r>
        <w:rPr>
          <w:rFonts w:hint="eastAsia" w:ascii="宋体" w:hAnsi="宋体" w:eastAsia="宋体" w:cs="宋体"/>
          <w:color w:val="auto"/>
          <w:sz w:val="24"/>
          <w:szCs w:val="32"/>
          <w:highlight w:val="none"/>
          <w:shd w:val="clear" w:color="auto" w:fill="auto"/>
        </w:rPr>
        <w:tab/>
      </w: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PAGEREF _Toc8439 \h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32"/>
          <w:highlight w:val="none"/>
          <w:shd w:val="clear" w:color="auto" w:fill="auto"/>
        </w:rPr>
        <w:t>20</w:t>
      </w:r>
      <w:r>
        <w:rPr>
          <w:rFonts w:hint="eastAsia" w:ascii="宋体" w:hAnsi="宋体" w:eastAsia="宋体" w:cs="宋体"/>
          <w:color w:val="auto"/>
          <w:sz w:val="24"/>
          <w:szCs w:val="32"/>
          <w:highlight w:val="none"/>
          <w:shd w:val="clear" w:color="auto" w:fill="auto"/>
        </w:rPr>
        <w:fldChar w:fldCharType="end"/>
      </w:r>
      <w:r>
        <w:rPr>
          <w:rFonts w:hint="eastAsia" w:ascii="宋体" w:hAnsi="宋体" w:eastAsia="宋体" w:cs="宋体"/>
          <w:color w:val="auto"/>
          <w:sz w:val="24"/>
          <w:szCs w:val="32"/>
          <w:highlight w:val="none"/>
          <w:shd w:val="clear" w:color="auto" w:fill="auto"/>
        </w:rPr>
        <w:fldChar w:fldCharType="end"/>
      </w:r>
    </w:p>
    <w:p w14:paraId="7262FBB6">
      <w:pPr>
        <w:pStyle w:val="11"/>
        <w:tabs>
          <w:tab w:val="right" w:leader="dot" w:pos="9070"/>
          <w:tab w:val="clear" w:pos="9000"/>
        </w:tabs>
        <w:rPr>
          <w:rFonts w:hint="eastAsia" w:ascii="宋体" w:hAnsi="宋体" w:eastAsia="宋体" w:cs="宋体"/>
          <w:color w:val="auto"/>
          <w:sz w:val="24"/>
          <w:szCs w:val="32"/>
          <w:highlight w:val="none"/>
          <w:shd w:val="clear" w:color="auto" w:fill="auto"/>
        </w:rPr>
      </w:pP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HYPERLINK \l _Toc3138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40"/>
          <w:highlight w:val="none"/>
          <w:shd w:val="clear" w:color="auto" w:fill="auto"/>
        </w:rPr>
        <w:t>第</w:t>
      </w:r>
      <w:r>
        <w:rPr>
          <w:rFonts w:hint="eastAsia" w:ascii="宋体" w:hAnsi="宋体" w:eastAsia="宋体" w:cs="宋体"/>
          <w:color w:val="auto"/>
          <w:sz w:val="24"/>
          <w:szCs w:val="40"/>
          <w:highlight w:val="none"/>
          <w:shd w:val="clear" w:color="auto" w:fill="auto"/>
          <w:lang w:val="en-US" w:eastAsia="zh-CN"/>
        </w:rPr>
        <w:t>四</w:t>
      </w:r>
      <w:r>
        <w:rPr>
          <w:rFonts w:hint="eastAsia" w:ascii="宋体" w:hAnsi="宋体" w:eastAsia="宋体" w:cs="宋体"/>
          <w:color w:val="auto"/>
          <w:sz w:val="24"/>
          <w:szCs w:val="40"/>
          <w:highlight w:val="none"/>
          <w:shd w:val="clear" w:color="auto" w:fill="auto"/>
          <w:lang w:eastAsia="zh-CN"/>
        </w:rPr>
        <w:t>章</w:t>
      </w:r>
      <w:r>
        <w:rPr>
          <w:rFonts w:hint="eastAsia" w:ascii="宋体" w:hAnsi="宋体" w:eastAsia="宋体" w:cs="宋体"/>
          <w:color w:val="auto"/>
          <w:sz w:val="24"/>
          <w:szCs w:val="40"/>
          <w:highlight w:val="none"/>
          <w:shd w:val="clear" w:color="auto" w:fill="auto"/>
        </w:rPr>
        <w:t xml:space="preserve">  服务内容及要求</w:t>
      </w:r>
      <w:r>
        <w:rPr>
          <w:rFonts w:hint="eastAsia" w:ascii="宋体" w:hAnsi="宋体" w:eastAsia="宋体" w:cs="宋体"/>
          <w:color w:val="auto"/>
          <w:sz w:val="24"/>
          <w:szCs w:val="32"/>
          <w:highlight w:val="none"/>
          <w:shd w:val="clear" w:color="auto" w:fill="auto"/>
        </w:rPr>
        <w:tab/>
      </w: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PAGEREF _Toc3138 \h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32"/>
          <w:highlight w:val="none"/>
          <w:shd w:val="clear" w:color="auto" w:fill="auto"/>
        </w:rPr>
        <w:t>36</w:t>
      </w:r>
      <w:r>
        <w:rPr>
          <w:rFonts w:hint="eastAsia" w:ascii="宋体" w:hAnsi="宋体" w:eastAsia="宋体" w:cs="宋体"/>
          <w:color w:val="auto"/>
          <w:sz w:val="24"/>
          <w:szCs w:val="32"/>
          <w:highlight w:val="none"/>
          <w:shd w:val="clear" w:color="auto" w:fill="auto"/>
        </w:rPr>
        <w:fldChar w:fldCharType="end"/>
      </w:r>
      <w:r>
        <w:rPr>
          <w:rFonts w:hint="eastAsia" w:ascii="宋体" w:hAnsi="宋体" w:eastAsia="宋体" w:cs="宋体"/>
          <w:color w:val="auto"/>
          <w:sz w:val="24"/>
          <w:szCs w:val="32"/>
          <w:highlight w:val="none"/>
          <w:shd w:val="clear" w:color="auto" w:fill="auto"/>
        </w:rPr>
        <w:fldChar w:fldCharType="end"/>
      </w:r>
    </w:p>
    <w:p w14:paraId="6F1EFBC2">
      <w:pPr>
        <w:pStyle w:val="11"/>
        <w:tabs>
          <w:tab w:val="right" w:leader="dot" w:pos="9070"/>
          <w:tab w:val="clear" w:pos="9000"/>
        </w:tabs>
        <w:rPr>
          <w:rFonts w:hint="eastAsia" w:ascii="宋体" w:hAnsi="宋体" w:eastAsia="宋体" w:cs="宋体"/>
          <w:color w:val="auto"/>
          <w:sz w:val="24"/>
          <w:szCs w:val="32"/>
          <w:highlight w:val="none"/>
          <w:shd w:val="clear" w:color="auto" w:fill="auto"/>
        </w:rPr>
      </w:pP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HYPERLINK \l _Toc28908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32"/>
          <w:highlight w:val="none"/>
          <w:shd w:val="clear" w:color="auto" w:fill="auto"/>
        </w:rPr>
        <w:t>第</w:t>
      </w:r>
      <w:r>
        <w:rPr>
          <w:rFonts w:hint="eastAsia" w:ascii="宋体" w:hAnsi="宋体" w:eastAsia="宋体" w:cs="宋体"/>
          <w:color w:val="auto"/>
          <w:sz w:val="24"/>
          <w:szCs w:val="32"/>
          <w:highlight w:val="none"/>
          <w:shd w:val="clear" w:color="auto" w:fill="auto"/>
          <w:lang w:val="en-US" w:eastAsia="zh-CN"/>
        </w:rPr>
        <w:t>五</w:t>
      </w:r>
      <w:r>
        <w:rPr>
          <w:rFonts w:hint="eastAsia" w:ascii="宋体" w:hAnsi="宋体" w:eastAsia="宋体" w:cs="宋体"/>
          <w:color w:val="auto"/>
          <w:sz w:val="24"/>
          <w:szCs w:val="32"/>
          <w:highlight w:val="none"/>
          <w:shd w:val="clear" w:color="auto" w:fill="auto"/>
          <w:lang w:eastAsia="zh-CN"/>
        </w:rPr>
        <w:t>章</w:t>
      </w:r>
      <w:r>
        <w:rPr>
          <w:rFonts w:hint="eastAsia" w:ascii="宋体" w:hAnsi="宋体" w:eastAsia="宋体" w:cs="宋体"/>
          <w:color w:val="auto"/>
          <w:sz w:val="24"/>
          <w:szCs w:val="32"/>
          <w:highlight w:val="none"/>
          <w:shd w:val="clear" w:color="auto" w:fill="auto"/>
        </w:rPr>
        <w:t xml:space="preserve">  合同</w:t>
      </w:r>
      <w:r>
        <w:rPr>
          <w:rFonts w:hint="eastAsia" w:ascii="宋体" w:hAnsi="宋体" w:eastAsia="宋体" w:cs="宋体"/>
          <w:color w:val="auto"/>
          <w:sz w:val="24"/>
          <w:szCs w:val="32"/>
          <w:highlight w:val="none"/>
          <w:shd w:val="clear" w:color="auto" w:fill="auto"/>
          <w:lang w:eastAsia="zh-CN"/>
        </w:rPr>
        <w:t>主要条款</w:t>
      </w:r>
      <w:r>
        <w:rPr>
          <w:rFonts w:hint="eastAsia" w:ascii="宋体" w:hAnsi="宋体" w:eastAsia="宋体" w:cs="宋体"/>
          <w:color w:val="auto"/>
          <w:sz w:val="24"/>
          <w:szCs w:val="32"/>
          <w:highlight w:val="none"/>
          <w:shd w:val="clear" w:color="auto" w:fill="auto"/>
        </w:rPr>
        <w:tab/>
      </w: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PAGEREF _Toc28908 \h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32"/>
          <w:highlight w:val="none"/>
          <w:shd w:val="clear" w:color="auto" w:fill="auto"/>
        </w:rPr>
        <w:t>75</w:t>
      </w:r>
      <w:r>
        <w:rPr>
          <w:rFonts w:hint="eastAsia" w:ascii="宋体" w:hAnsi="宋体" w:eastAsia="宋体" w:cs="宋体"/>
          <w:color w:val="auto"/>
          <w:sz w:val="24"/>
          <w:szCs w:val="32"/>
          <w:highlight w:val="none"/>
          <w:shd w:val="clear" w:color="auto" w:fill="auto"/>
        </w:rPr>
        <w:fldChar w:fldCharType="end"/>
      </w:r>
      <w:r>
        <w:rPr>
          <w:rFonts w:hint="eastAsia" w:ascii="宋体" w:hAnsi="宋体" w:eastAsia="宋体" w:cs="宋体"/>
          <w:color w:val="auto"/>
          <w:sz w:val="24"/>
          <w:szCs w:val="32"/>
          <w:highlight w:val="none"/>
          <w:shd w:val="clear" w:color="auto" w:fill="auto"/>
        </w:rPr>
        <w:fldChar w:fldCharType="end"/>
      </w:r>
    </w:p>
    <w:p w14:paraId="2899FC1E">
      <w:pPr>
        <w:pStyle w:val="11"/>
        <w:tabs>
          <w:tab w:val="right" w:leader="dot" w:pos="9070"/>
          <w:tab w:val="clear" w:pos="9000"/>
        </w:tabs>
        <w:rPr>
          <w:rFonts w:hint="eastAsia" w:ascii="宋体" w:hAnsi="宋体" w:eastAsia="宋体" w:cs="宋体"/>
          <w:color w:val="auto"/>
          <w:sz w:val="24"/>
          <w:szCs w:val="32"/>
          <w:highlight w:val="none"/>
          <w:shd w:val="clear" w:color="auto" w:fill="auto"/>
        </w:rPr>
      </w:pP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HYPERLINK \l _Toc10494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32"/>
          <w:highlight w:val="none"/>
          <w:shd w:val="clear" w:color="auto" w:fill="auto"/>
        </w:rPr>
        <w:t>第</w:t>
      </w:r>
      <w:r>
        <w:rPr>
          <w:rFonts w:hint="eastAsia" w:ascii="宋体" w:hAnsi="宋体" w:eastAsia="宋体" w:cs="宋体"/>
          <w:color w:val="auto"/>
          <w:sz w:val="24"/>
          <w:szCs w:val="32"/>
          <w:highlight w:val="none"/>
          <w:shd w:val="clear" w:color="auto" w:fill="auto"/>
          <w:lang w:val="en-US" w:eastAsia="zh-CN"/>
        </w:rPr>
        <w:t>六</w:t>
      </w:r>
      <w:r>
        <w:rPr>
          <w:rFonts w:hint="eastAsia" w:ascii="宋体" w:hAnsi="宋体" w:eastAsia="宋体" w:cs="宋体"/>
          <w:color w:val="auto"/>
          <w:sz w:val="24"/>
          <w:szCs w:val="32"/>
          <w:highlight w:val="none"/>
          <w:shd w:val="clear" w:color="auto" w:fill="auto"/>
          <w:lang w:eastAsia="zh-CN"/>
        </w:rPr>
        <w:t>章</w:t>
      </w:r>
      <w:r>
        <w:rPr>
          <w:rFonts w:hint="eastAsia" w:ascii="宋体" w:hAnsi="宋体" w:eastAsia="宋体" w:cs="宋体"/>
          <w:color w:val="auto"/>
          <w:sz w:val="24"/>
          <w:szCs w:val="32"/>
          <w:highlight w:val="none"/>
          <w:shd w:val="clear" w:color="auto" w:fill="auto"/>
        </w:rPr>
        <w:t xml:space="preserve">  投标文件格式</w:t>
      </w:r>
      <w:r>
        <w:rPr>
          <w:rFonts w:hint="eastAsia" w:ascii="宋体" w:hAnsi="宋体" w:eastAsia="宋体" w:cs="宋体"/>
          <w:color w:val="auto"/>
          <w:sz w:val="24"/>
          <w:szCs w:val="32"/>
          <w:highlight w:val="none"/>
          <w:shd w:val="clear" w:color="auto" w:fill="auto"/>
        </w:rPr>
        <w:tab/>
      </w: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PAGEREF _Toc10494 \h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32"/>
          <w:highlight w:val="none"/>
          <w:shd w:val="clear" w:color="auto" w:fill="auto"/>
        </w:rPr>
        <w:t>79</w:t>
      </w:r>
      <w:r>
        <w:rPr>
          <w:rFonts w:hint="eastAsia" w:ascii="宋体" w:hAnsi="宋体" w:eastAsia="宋体" w:cs="宋体"/>
          <w:color w:val="auto"/>
          <w:sz w:val="24"/>
          <w:szCs w:val="32"/>
          <w:highlight w:val="none"/>
          <w:shd w:val="clear" w:color="auto" w:fill="auto"/>
        </w:rPr>
        <w:fldChar w:fldCharType="end"/>
      </w:r>
      <w:r>
        <w:rPr>
          <w:rFonts w:hint="eastAsia" w:ascii="宋体" w:hAnsi="宋体" w:eastAsia="宋体" w:cs="宋体"/>
          <w:color w:val="auto"/>
          <w:sz w:val="24"/>
          <w:szCs w:val="32"/>
          <w:highlight w:val="none"/>
          <w:shd w:val="clear" w:color="auto" w:fill="auto"/>
        </w:rPr>
        <w:fldChar w:fldCharType="end"/>
      </w:r>
    </w:p>
    <w:p w14:paraId="02AF98E6">
      <w:pPr>
        <w:pStyle w:val="11"/>
        <w:tabs>
          <w:tab w:val="right" w:leader="dot" w:pos="9070"/>
          <w:tab w:val="clear" w:pos="9000"/>
        </w:tabs>
        <w:rPr>
          <w:rFonts w:hint="eastAsia" w:ascii="宋体" w:hAnsi="宋体" w:eastAsia="宋体" w:cs="宋体"/>
          <w:color w:val="auto"/>
          <w:highlight w:val="none"/>
          <w:shd w:val="clear" w:color="auto" w:fill="auto"/>
        </w:rPr>
      </w:pP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HYPERLINK \l _Toc26347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32"/>
          <w:highlight w:val="none"/>
          <w:shd w:val="clear" w:color="auto" w:fill="auto"/>
        </w:rPr>
        <w:t>第</w:t>
      </w:r>
      <w:r>
        <w:rPr>
          <w:rFonts w:hint="eastAsia" w:ascii="宋体" w:hAnsi="宋体" w:eastAsia="宋体" w:cs="宋体"/>
          <w:color w:val="auto"/>
          <w:sz w:val="24"/>
          <w:szCs w:val="32"/>
          <w:highlight w:val="none"/>
          <w:shd w:val="clear" w:color="auto" w:fill="auto"/>
          <w:lang w:val="en-US" w:eastAsia="zh-CN"/>
        </w:rPr>
        <w:t>七</w:t>
      </w:r>
      <w:r>
        <w:rPr>
          <w:rFonts w:hint="eastAsia" w:ascii="宋体" w:hAnsi="宋体" w:eastAsia="宋体" w:cs="宋体"/>
          <w:color w:val="auto"/>
          <w:sz w:val="24"/>
          <w:szCs w:val="32"/>
          <w:highlight w:val="none"/>
          <w:shd w:val="clear" w:color="auto" w:fill="auto"/>
        </w:rPr>
        <w:t>章  封袋正面标识式样</w:t>
      </w:r>
      <w:r>
        <w:rPr>
          <w:rFonts w:hint="eastAsia" w:ascii="宋体" w:hAnsi="宋体" w:eastAsia="宋体" w:cs="宋体"/>
          <w:color w:val="auto"/>
          <w:sz w:val="24"/>
          <w:szCs w:val="32"/>
          <w:highlight w:val="none"/>
          <w:shd w:val="clear" w:color="auto" w:fill="auto"/>
        </w:rPr>
        <w:tab/>
      </w:r>
      <w:r>
        <w:rPr>
          <w:rFonts w:hint="eastAsia" w:ascii="宋体" w:hAnsi="宋体" w:eastAsia="宋体" w:cs="宋体"/>
          <w:color w:val="auto"/>
          <w:sz w:val="24"/>
          <w:szCs w:val="32"/>
          <w:highlight w:val="none"/>
          <w:shd w:val="clear" w:color="auto" w:fill="auto"/>
        </w:rPr>
        <w:fldChar w:fldCharType="begin"/>
      </w:r>
      <w:r>
        <w:rPr>
          <w:rFonts w:hint="eastAsia" w:ascii="宋体" w:hAnsi="宋体" w:eastAsia="宋体" w:cs="宋体"/>
          <w:color w:val="auto"/>
          <w:sz w:val="24"/>
          <w:szCs w:val="32"/>
          <w:highlight w:val="none"/>
          <w:shd w:val="clear" w:color="auto" w:fill="auto"/>
        </w:rPr>
        <w:instrText xml:space="preserve"> PAGEREF _Toc26347 \h </w:instrText>
      </w:r>
      <w:r>
        <w:rPr>
          <w:rFonts w:hint="eastAsia" w:ascii="宋体" w:hAnsi="宋体" w:eastAsia="宋体" w:cs="宋体"/>
          <w:color w:val="auto"/>
          <w:sz w:val="24"/>
          <w:szCs w:val="32"/>
          <w:highlight w:val="none"/>
          <w:shd w:val="clear" w:color="auto" w:fill="auto"/>
        </w:rPr>
        <w:fldChar w:fldCharType="separate"/>
      </w:r>
      <w:r>
        <w:rPr>
          <w:rFonts w:hint="eastAsia" w:ascii="宋体" w:hAnsi="宋体" w:eastAsia="宋体" w:cs="宋体"/>
          <w:color w:val="auto"/>
          <w:sz w:val="24"/>
          <w:szCs w:val="32"/>
          <w:highlight w:val="none"/>
          <w:shd w:val="clear" w:color="auto" w:fill="auto"/>
        </w:rPr>
        <w:t>101</w:t>
      </w:r>
      <w:r>
        <w:rPr>
          <w:rFonts w:hint="eastAsia" w:ascii="宋体" w:hAnsi="宋体" w:eastAsia="宋体" w:cs="宋体"/>
          <w:color w:val="auto"/>
          <w:sz w:val="24"/>
          <w:szCs w:val="32"/>
          <w:highlight w:val="none"/>
          <w:shd w:val="clear" w:color="auto" w:fill="auto"/>
        </w:rPr>
        <w:fldChar w:fldCharType="end"/>
      </w:r>
      <w:r>
        <w:rPr>
          <w:rFonts w:hint="eastAsia" w:ascii="宋体" w:hAnsi="宋体" w:eastAsia="宋体" w:cs="宋体"/>
          <w:color w:val="auto"/>
          <w:sz w:val="24"/>
          <w:szCs w:val="32"/>
          <w:highlight w:val="none"/>
          <w:shd w:val="clear" w:color="auto" w:fill="auto"/>
        </w:rPr>
        <w:fldChar w:fldCharType="end"/>
      </w:r>
    </w:p>
    <w:p w14:paraId="35E1E84F">
      <w:pPr>
        <w:rPr>
          <w:rFonts w:hint="eastAsia" w:ascii="宋体" w:hAnsi="宋体" w:eastAsia="宋体" w:cs="宋体"/>
          <w:color w:val="auto"/>
          <w:highlight w:val="none"/>
          <w:shd w:val="clear" w:color="auto" w:fill="auto"/>
        </w:rPr>
        <w:sectPr>
          <w:headerReference r:id="rId10" w:type="first"/>
          <w:footerReference r:id="rId12" w:type="first"/>
          <w:headerReference r:id="rId9" w:type="default"/>
          <w:footerReference r:id="rId11" w:type="default"/>
          <w:pgSz w:w="11906" w:h="16838"/>
          <w:pgMar w:top="1440" w:right="1800" w:bottom="873" w:left="1800" w:header="851" w:footer="1077" w:gutter="0"/>
          <w:pgNumType w:fmt="decimal" w:start="1"/>
          <w:cols w:space="720" w:num="1"/>
          <w:titlePg/>
          <w:docGrid w:linePitch="326" w:charSpace="0"/>
        </w:sectPr>
      </w:pPr>
      <w:r>
        <w:rPr>
          <w:rFonts w:hint="eastAsia" w:ascii="宋体" w:hAnsi="宋体" w:eastAsia="宋体" w:cs="宋体"/>
          <w:color w:val="auto"/>
          <w:highlight w:val="none"/>
          <w:shd w:val="clear" w:color="auto" w:fill="auto"/>
        </w:rPr>
        <w:fldChar w:fldCharType="end"/>
      </w:r>
    </w:p>
    <w:p w14:paraId="1C63C46B">
      <w:pPr>
        <w:spacing w:line="480" w:lineRule="auto"/>
        <w:jc w:val="center"/>
        <w:outlineLvl w:val="0"/>
        <w:rPr>
          <w:rFonts w:hint="eastAsia" w:ascii="宋体" w:hAnsi="宋体" w:eastAsia="宋体" w:cs="宋体"/>
          <w:b/>
          <w:color w:val="auto"/>
          <w:sz w:val="28"/>
          <w:szCs w:val="28"/>
          <w:highlight w:val="none"/>
          <w:shd w:val="clear" w:color="auto" w:fill="auto"/>
        </w:rPr>
      </w:pPr>
      <w:bookmarkStart w:id="6" w:name="_Toc524440142"/>
      <w:bookmarkStart w:id="7" w:name="_Toc16089"/>
      <w:bookmarkStart w:id="8" w:name="_Toc16893"/>
      <w:bookmarkStart w:id="9" w:name="_Toc13088"/>
      <w:bookmarkStart w:id="10" w:name="_Toc7917"/>
      <w:r>
        <w:rPr>
          <w:rFonts w:hint="eastAsia" w:ascii="宋体" w:hAnsi="宋体" w:eastAsia="宋体" w:cs="宋体"/>
          <w:b/>
          <w:color w:val="auto"/>
          <w:sz w:val="32"/>
          <w:szCs w:val="32"/>
          <w:highlight w:val="none"/>
          <w:shd w:val="clear" w:color="auto" w:fill="auto"/>
        </w:rPr>
        <w:t>第一</w:t>
      </w:r>
      <w:r>
        <w:rPr>
          <w:rFonts w:hint="eastAsia" w:ascii="宋体" w:hAnsi="宋体" w:eastAsia="宋体" w:cs="宋体"/>
          <w:b/>
          <w:color w:val="auto"/>
          <w:sz w:val="32"/>
          <w:szCs w:val="32"/>
          <w:highlight w:val="none"/>
          <w:shd w:val="clear" w:color="auto" w:fill="auto"/>
          <w:lang w:eastAsia="zh-CN"/>
        </w:rPr>
        <w:t>章</w:t>
      </w:r>
      <w:r>
        <w:rPr>
          <w:rFonts w:hint="eastAsia" w:ascii="宋体" w:hAnsi="宋体" w:eastAsia="宋体" w:cs="宋体"/>
          <w:b/>
          <w:color w:val="auto"/>
          <w:sz w:val="32"/>
          <w:szCs w:val="32"/>
          <w:highlight w:val="none"/>
          <w:shd w:val="clear" w:color="auto" w:fill="auto"/>
        </w:rPr>
        <w:t xml:space="preserve">  </w:t>
      </w:r>
      <w:bookmarkEnd w:id="6"/>
      <w:r>
        <w:rPr>
          <w:rFonts w:hint="eastAsia" w:ascii="宋体" w:hAnsi="宋体" w:eastAsia="宋体" w:cs="宋体"/>
          <w:b/>
          <w:color w:val="auto"/>
          <w:sz w:val="32"/>
          <w:szCs w:val="32"/>
          <w:highlight w:val="none"/>
          <w:shd w:val="clear" w:color="auto" w:fill="auto"/>
        </w:rPr>
        <w:t>招标公告</w:t>
      </w:r>
      <w:bookmarkEnd w:id="7"/>
      <w:bookmarkEnd w:id="8"/>
      <w:bookmarkEnd w:id="9"/>
      <w:bookmarkEnd w:id="10"/>
    </w:p>
    <w:p w14:paraId="47806380">
      <w:pPr>
        <w:pStyle w:val="19"/>
        <w:outlineLvl w:val="5"/>
        <w:rPr>
          <w:rFonts w:hint="eastAsia" w:ascii="宋体" w:hAnsi="宋体" w:eastAsia="宋体" w:cs="宋体"/>
          <w:highlight w:val="none"/>
        </w:rPr>
      </w:pPr>
      <w:r>
        <w:rPr>
          <w:rFonts w:hint="eastAsia" w:ascii="宋体" w:hAnsi="宋体" w:eastAsia="宋体" w:cs="宋体"/>
          <w:b/>
          <w:sz w:val="24"/>
          <w:szCs w:val="24"/>
          <w:highlight w:val="none"/>
        </w:rPr>
        <w:t xml:space="preserve"> 项目概况</w:t>
      </w:r>
    </w:p>
    <w:p w14:paraId="5D42F3AF">
      <w:pPr>
        <w:pStyle w:val="19"/>
        <w:spacing w:line="360" w:lineRule="auto"/>
        <w:ind w:firstLine="420" w:firstLineChars="200"/>
        <w:rPr>
          <w:rFonts w:hint="eastAsia" w:ascii="宋体" w:hAnsi="宋体" w:eastAsia="宋体" w:cs="宋体"/>
          <w:highlight w:val="none"/>
        </w:rPr>
      </w:pPr>
      <w:r>
        <w:rPr>
          <w:rFonts w:hint="eastAsia" w:ascii="宋体" w:hAnsi="宋体" w:eastAsia="宋体" w:cs="宋体"/>
          <w:sz w:val="21"/>
          <w:szCs w:val="21"/>
          <w:highlight w:val="none"/>
          <w:lang w:eastAsia="zh-CN"/>
        </w:rPr>
        <w:t>咸阳市秦都区人民法院档案信息化设施设备项目</w:t>
      </w:r>
      <w:r>
        <w:rPr>
          <w:rFonts w:hint="eastAsia" w:ascii="宋体" w:hAnsi="宋体" w:eastAsia="宋体" w:cs="宋体"/>
          <w:sz w:val="21"/>
          <w:szCs w:val="21"/>
          <w:highlight w:val="none"/>
        </w:rPr>
        <w:t>招标项目的潜在投标人应在</w:t>
      </w:r>
      <w:r>
        <w:rPr>
          <w:rFonts w:hint="eastAsia" w:ascii="宋体" w:hAnsi="宋体" w:eastAsia="宋体" w:cs="宋体"/>
          <w:sz w:val="21"/>
          <w:szCs w:val="21"/>
          <w:highlight w:val="none"/>
          <w:lang w:eastAsia="zh-CN"/>
        </w:rPr>
        <w:t>西安市莲湖区丰庆路48号1幢三层305室</w:t>
      </w:r>
      <w:r>
        <w:rPr>
          <w:rFonts w:hint="eastAsia" w:ascii="宋体" w:hAnsi="宋体" w:eastAsia="宋体" w:cs="宋体"/>
          <w:sz w:val="21"/>
          <w:szCs w:val="21"/>
          <w:highlight w:val="none"/>
        </w:rPr>
        <w:t>获取招标文件，并于 202</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年0</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月</w:t>
      </w:r>
      <w:r>
        <w:rPr>
          <w:rFonts w:hint="eastAsia" w:ascii="宋体" w:hAnsi="宋体" w:eastAsia="宋体" w:cs="宋体"/>
          <w:sz w:val="21"/>
          <w:szCs w:val="21"/>
          <w:highlight w:val="none"/>
          <w:lang w:val="en-US" w:eastAsia="zh-CN"/>
        </w:rPr>
        <w:t>29</w:t>
      </w:r>
      <w:r>
        <w:rPr>
          <w:rFonts w:hint="eastAsia" w:ascii="宋体" w:hAnsi="宋体" w:eastAsia="宋体" w:cs="宋体"/>
          <w:sz w:val="21"/>
          <w:szCs w:val="21"/>
          <w:highlight w:val="none"/>
        </w:rPr>
        <w:t>日</w:t>
      </w:r>
      <w:r>
        <w:rPr>
          <w:rFonts w:hint="eastAsia" w:ascii="宋体" w:hAnsi="宋体" w:eastAsia="宋体" w:cs="宋体"/>
          <w:sz w:val="21"/>
          <w:szCs w:val="21"/>
          <w:highlight w:val="none"/>
          <w:lang w:val="en-US" w:eastAsia="zh-CN"/>
        </w:rPr>
        <w:t>14</w:t>
      </w:r>
      <w:r>
        <w:rPr>
          <w:rFonts w:hint="eastAsia" w:ascii="宋体" w:hAnsi="宋体" w:eastAsia="宋体" w:cs="宋体"/>
          <w:sz w:val="21"/>
          <w:szCs w:val="21"/>
          <w:highlight w:val="none"/>
        </w:rPr>
        <w:t>时30分 （北京时间）前递交投标文件。</w:t>
      </w:r>
    </w:p>
    <w:p w14:paraId="1910DFA9">
      <w:pPr>
        <w:pStyle w:val="19"/>
        <w:spacing w:line="360" w:lineRule="auto"/>
        <w:outlineLvl w:val="3"/>
        <w:rPr>
          <w:rFonts w:hint="eastAsia" w:ascii="宋体" w:hAnsi="宋体" w:eastAsia="宋体" w:cs="宋体"/>
          <w:highlight w:val="none"/>
        </w:rPr>
      </w:pPr>
      <w:r>
        <w:rPr>
          <w:rFonts w:hint="eastAsia" w:ascii="宋体" w:hAnsi="宋体" w:eastAsia="宋体" w:cs="宋体"/>
          <w:b/>
          <w:sz w:val="24"/>
          <w:highlight w:val="none"/>
        </w:rPr>
        <w:t>一、项目基本情况</w:t>
      </w:r>
    </w:p>
    <w:p w14:paraId="5F749922">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项目编号：HZJZS2026-0158</w:t>
      </w:r>
    </w:p>
    <w:p w14:paraId="58A01D3D">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项目名称：咸阳市秦都区人民法院档案信息化设施设备项目</w:t>
      </w:r>
    </w:p>
    <w:p w14:paraId="168B902A">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采购方式：公开招标</w:t>
      </w:r>
    </w:p>
    <w:p w14:paraId="05FC5AA9">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预算金额：</w:t>
      </w:r>
      <w:r>
        <w:rPr>
          <w:rFonts w:hint="eastAsia" w:ascii="宋体" w:hAnsi="宋体" w:eastAsia="宋体" w:cs="宋体"/>
          <w:sz w:val="21"/>
          <w:szCs w:val="21"/>
          <w:highlight w:val="none"/>
          <w:lang w:val="en-US" w:eastAsia="zh-CN"/>
        </w:rPr>
        <w:t>850000.00</w:t>
      </w:r>
      <w:r>
        <w:rPr>
          <w:rFonts w:hint="eastAsia" w:ascii="宋体" w:hAnsi="宋体" w:eastAsia="宋体" w:cs="宋体"/>
          <w:sz w:val="21"/>
          <w:szCs w:val="21"/>
          <w:highlight w:val="none"/>
          <w:lang w:eastAsia="zh-CN"/>
        </w:rPr>
        <w:t>元</w:t>
      </w:r>
    </w:p>
    <w:p w14:paraId="0C65DC63">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采购需求：</w:t>
      </w:r>
    </w:p>
    <w:p w14:paraId="1F0D9061">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合同包1(</w:t>
      </w:r>
      <w:r>
        <w:rPr>
          <w:rFonts w:hint="eastAsia" w:ascii="宋体" w:hAnsi="宋体" w:eastAsia="宋体" w:cs="宋体"/>
          <w:sz w:val="21"/>
          <w:szCs w:val="21"/>
          <w:highlight w:val="none"/>
          <w:lang w:eastAsia="zh-CN"/>
        </w:rPr>
        <w:t>咸阳市秦都区人民法院档案信息化设施设备项目</w:t>
      </w:r>
      <w:r>
        <w:rPr>
          <w:rFonts w:hint="eastAsia" w:ascii="宋体" w:hAnsi="宋体" w:eastAsia="宋体" w:cs="宋体"/>
          <w:sz w:val="21"/>
          <w:szCs w:val="21"/>
          <w:highlight w:val="none"/>
        </w:rPr>
        <w:t>):</w:t>
      </w:r>
    </w:p>
    <w:p w14:paraId="0DC5C7E4">
      <w:pPr>
        <w:pStyle w:val="19"/>
        <w:spacing w:line="360" w:lineRule="auto"/>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合同包预算金额：</w:t>
      </w:r>
      <w:r>
        <w:rPr>
          <w:rFonts w:hint="eastAsia" w:ascii="宋体" w:hAnsi="宋体" w:eastAsia="宋体" w:cs="宋体"/>
          <w:sz w:val="21"/>
          <w:szCs w:val="21"/>
          <w:highlight w:val="none"/>
          <w:lang w:val="en-US" w:eastAsia="zh-CN"/>
        </w:rPr>
        <w:t>850000.00</w:t>
      </w:r>
      <w:r>
        <w:rPr>
          <w:rFonts w:hint="eastAsia" w:ascii="宋体" w:hAnsi="宋体" w:eastAsia="宋体" w:cs="宋体"/>
          <w:sz w:val="21"/>
          <w:szCs w:val="21"/>
          <w:highlight w:val="none"/>
        </w:rPr>
        <w:t>元</w:t>
      </w:r>
    </w:p>
    <w:p w14:paraId="7D55983F">
      <w:pPr>
        <w:pStyle w:val="19"/>
        <w:spacing w:line="360" w:lineRule="auto"/>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合同包最高限价：</w:t>
      </w:r>
      <w:r>
        <w:rPr>
          <w:rFonts w:hint="eastAsia" w:ascii="宋体" w:hAnsi="宋体" w:eastAsia="宋体" w:cs="宋体"/>
          <w:sz w:val="21"/>
          <w:szCs w:val="21"/>
          <w:highlight w:val="none"/>
          <w:lang w:val="en-US" w:eastAsia="zh-CN"/>
        </w:rPr>
        <w:t>850000.00</w:t>
      </w:r>
      <w:r>
        <w:rPr>
          <w:rFonts w:hint="eastAsia" w:ascii="宋体" w:hAnsi="宋体" w:eastAsia="宋体" w:cs="宋体"/>
          <w:sz w:val="21"/>
          <w:szCs w:val="21"/>
          <w:highlight w:val="none"/>
        </w:rPr>
        <w:t>元</w:t>
      </w:r>
    </w:p>
    <w:tbl>
      <w:tblPr>
        <w:tblStyle w:val="1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3ED1F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8436B5B">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品目号</w:t>
            </w:r>
          </w:p>
        </w:tc>
        <w:tc>
          <w:tcPr>
            <w:tcW w:w="1187" w:type="dxa"/>
            <w:noWrap w:val="0"/>
            <w:vAlign w:val="top"/>
          </w:tcPr>
          <w:p w14:paraId="3017168F">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品目名称</w:t>
            </w:r>
          </w:p>
        </w:tc>
        <w:tc>
          <w:tcPr>
            <w:tcW w:w="1187" w:type="dxa"/>
            <w:noWrap w:val="0"/>
            <w:vAlign w:val="top"/>
          </w:tcPr>
          <w:p w14:paraId="1AEFD24C">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采购标的</w:t>
            </w:r>
          </w:p>
        </w:tc>
        <w:tc>
          <w:tcPr>
            <w:tcW w:w="1187" w:type="dxa"/>
            <w:noWrap w:val="0"/>
            <w:vAlign w:val="top"/>
          </w:tcPr>
          <w:p w14:paraId="4B9F041D">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数量（单位）</w:t>
            </w:r>
          </w:p>
        </w:tc>
        <w:tc>
          <w:tcPr>
            <w:tcW w:w="1187" w:type="dxa"/>
            <w:noWrap w:val="0"/>
            <w:vAlign w:val="top"/>
          </w:tcPr>
          <w:p w14:paraId="7ECF0056">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技术规格、参数及要求</w:t>
            </w:r>
          </w:p>
        </w:tc>
        <w:tc>
          <w:tcPr>
            <w:tcW w:w="1187" w:type="dxa"/>
            <w:noWrap w:val="0"/>
            <w:vAlign w:val="top"/>
          </w:tcPr>
          <w:p w14:paraId="04EC63C8">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品目预算(元)</w:t>
            </w:r>
          </w:p>
        </w:tc>
        <w:tc>
          <w:tcPr>
            <w:tcW w:w="1187" w:type="dxa"/>
            <w:noWrap w:val="0"/>
            <w:vAlign w:val="top"/>
          </w:tcPr>
          <w:p w14:paraId="78AAC077">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最高限价(元)</w:t>
            </w:r>
          </w:p>
        </w:tc>
      </w:tr>
      <w:tr w14:paraId="0D052B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4A675EDF">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1-1</w:t>
            </w:r>
          </w:p>
        </w:tc>
        <w:tc>
          <w:tcPr>
            <w:tcW w:w="1187" w:type="dxa"/>
            <w:noWrap w:val="0"/>
            <w:vAlign w:val="top"/>
          </w:tcPr>
          <w:p w14:paraId="0A84415B">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其他图书档案设备</w:t>
            </w:r>
          </w:p>
        </w:tc>
        <w:tc>
          <w:tcPr>
            <w:tcW w:w="1187" w:type="dxa"/>
            <w:noWrap w:val="0"/>
            <w:vAlign w:val="top"/>
          </w:tcPr>
          <w:p w14:paraId="644132C3">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档案信息化设施设备</w:t>
            </w:r>
          </w:p>
        </w:tc>
        <w:tc>
          <w:tcPr>
            <w:tcW w:w="1187" w:type="dxa"/>
            <w:noWrap w:val="0"/>
            <w:vAlign w:val="top"/>
          </w:tcPr>
          <w:p w14:paraId="4B2E8291">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套</w:t>
            </w:r>
            <w:r>
              <w:rPr>
                <w:rFonts w:hint="eastAsia" w:ascii="宋体" w:hAnsi="宋体" w:eastAsia="宋体" w:cs="宋体"/>
                <w:sz w:val="21"/>
                <w:szCs w:val="21"/>
                <w:highlight w:val="none"/>
              </w:rPr>
              <w:t>)</w:t>
            </w:r>
          </w:p>
        </w:tc>
        <w:tc>
          <w:tcPr>
            <w:tcW w:w="1187" w:type="dxa"/>
            <w:noWrap w:val="0"/>
            <w:vAlign w:val="top"/>
          </w:tcPr>
          <w:p w14:paraId="0B95B1A2">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详见采购文件</w:t>
            </w:r>
          </w:p>
        </w:tc>
        <w:tc>
          <w:tcPr>
            <w:tcW w:w="1187" w:type="dxa"/>
            <w:noWrap w:val="0"/>
            <w:vAlign w:val="top"/>
          </w:tcPr>
          <w:p w14:paraId="4CBF0FF5">
            <w:pPr>
              <w:pStyle w:val="19"/>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850000.00</w:t>
            </w:r>
          </w:p>
        </w:tc>
        <w:tc>
          <w:tcPr>
            <w:tcW w:w="1187" w:type="dxa"/>
            <w:noWrap w:val="0"/>
            <w:vAlign w:val="top"/>
          </w:tcPr>
          <w:p w14:paraId="52057D2D">
            <w:pPr>
              <w:pStyle w:val="19"/>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850000.00</w:t>
            </w:r>
          </w:p>
        </w:tc>
      </w:tr>
    </w:tbl>
    <w:p w14:paraId="673520CE">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本合同包不接受联合体投标</w:t>
      </w:r>
    </w:p>
    <w:p w14:paraId="3F6E96CF">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合同履行期限：</w:t>
      </w:r>
      <w:r>
        <w:rPr>
          <w:rFonts w:hint="eastAsia" w:ascii="宋体" w:hAnsi="宋体" w:eastAsia="宋体" w:cs="宋体"/>
          <w:sz w:val="21"/>
          <w:szCs w:val="21"/>
          <w:highlight w:val="none"/>
          <w:lang w:val="en-US" w:eastAsia="zh-CN"/>
        </w:rPr>
        <w:t>自合同签订之日起</w:t>
      </w:r>
      <w:r>
        <w:rPr>
          <w:rFonts w:hint="eastAsia" w:ascii="宋体" w:hAnsi="宋体" w:eastAsia="宋体" w:cs="宋体"/>
          <w:sz w:val="21"/>
          <w:szCs w:val="21"/>
          <w:highlight w:val="none"/>
        </w:rPr>
        <w:t>30日历天</w:t>
      </w:r>
    </w:p>
    <w:p w14:paraId="7285DE43">
      <w:pPr>
        <w:pStyle w:val="19"/>
        <w:spacing w:line="360" w:lineRule="auto"/>
        <w:outlineLvl w:val="3"/>
        <w:rPr>
          <w:rFonts w:hint="eastAsia" w:ascii="宋体" w:hAnsi="宋体" w:eastAsia="宋体" w:cs="宋体"/>
          <w:highlight w:val="none"/>
        </w:rPr>
      </w:pPr>
      <w:r>
        <w:rPr>
          <w:rFonts w:hint="eastAsia" w:ascii="宋体" w:hAnsi="宋体" w:eastAsia="宋体" w:cs="宋体"/>
          <w:b/>
          <w:sz w:val="24"/>
          <w:highlight w:val="none"/>
        </w:rPr>
        <w:t>二、申请人的资格要求：</w:t>
      </w:r>
    </w:p>
    <w:p w14:paraId="5D1F69D2">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1.满足《中华人民共和国政府采购法》第二十二条规定;</w:t>
      </w:r>
    </w:p>
    <w:p w14:paraId="44209139">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2.落实政府采购政策需满足的资格要求：</w:t>
      </w:r>
    </w:p>
    <w:p w14:paraId="7D873F51">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合同包1(</w:t>
      </w:r>
      <w:r>
        <w:rPr>
          <w:rFonts w:hint="eastAsia" w:ascii="宋体" w:hAnsi="宋体" w:eastAsia="宋体" w:cs="宋体"/>
          <w:sz w:val="21"/>
          <w:szCs w:val="21"/>
          <w:highlight w:val="none"/>
          <w:lang w:eastAsia="zh-CN"/>
        </w:rPr>
        <w:t>咸阳市秦都区人民法院档案信息化设施设备项目</w:t>
      </w:r>
      <w:r>
        <w:rPr>
          <w:rFonts w:hint="eastAsia" w:ascii="宋体" w:hAnsi="宋体" w:eastAsia="宋体" w:cs="宋体"/>
          <w:sz w:val="21"/>
          <w:szCs w:val="21"/>
          <w:highlight w:val="none"/>
        </w:rPr>
        <w:t>)落实政府采购政策需满足的资格要求如下:</w:t>
      </w:r>
    </w:p>
    <w:p w14:paraId="3FC69CC9">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依据《中华人民共和国政府采购法》和《中华人民共和国政府采购法实施条例》的有关规定，落实政府采购政策，包含但不限于以下政策：</w:t>
      </w:r>
      <w:r>
        <w:rPr>
          <w:rFonts w:hint="eastAsia" w:ascii="宋体" w:hAnsi="宋体" w:eastAsia="宋体" w:cs="宋体"/>
          <w:sz w:val="21"/>
          <w:szCs w:val="21"/>
          <w:highlight w:val="none"/>
        </w:rPr>
        <w:br w:type="textWrapping"/>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《政府采购促进中小企业发展管理办法》的通知--财库〔2020〕46号；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《财政部司法部关于政府采购支持监狱企业发展有关问题的通知》财库〔2014〕68号；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《财政部发展改革委生态环境部市场监管总局关于调整优化节能产品环境标志产品政府采购执行机制的通知》--财库〔2019〕9号；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《节能产品政府采购实施意见》--财库〔2004〕185号；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《环境标志产品政府采购实施的意见》--财库〔2006〕90号；《财政部环保总局关于环境标志产品政府采购实施的意见》(财库〔2006〕180号)；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《关于促进残疾人就业政府采购政策的通知》--财库〔2017〕141号；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陕西省财政厅关于印发《陕西省中小企业政府采购信用融资办法》--陕财办采〔2018〕23号；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《国务院办公厅关于建立政府强制采购节能产品制度的通知》--国办发〔2007〕51号；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《财政部 国务院扶贫办关于运用政府采购政策支持脱贫攻坚的通知》--（财库〔2019〕27号）；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《财政部农业农村部国家乡村振兴局关于运用政府采购政策支持乡村产业振兴的通知》（财库〔2021〕19号）；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陕西省财政厅关于进一步加强政府绿色采购有关问题的通知--陕财办采〔2021〕29号；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《陕西省财政厅关于加快推进我省中小企业政府采购信用融资工作的通知》（陕财办采〔2020〕15号）；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《关于进一步加大政府采购支持中小企业力度的通知》（财库〔2022〕19号）；</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如有最新颁布的政府采购政策，按最新的文件执行。若享受以上政策优惠的企业，提供相应声明函或品目范围内产品有效认证证书。</w:t>
      </w:r>
    </w:p>
    <w:p w14:paraId="7BEB3523">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3.本项目的特定资格要求：</w:t>
      </w:r>
    </w:p>
    <w:p w14:paraId="5D75A15E">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合同包1(</w:t>
      </w:r>
      <w:r>
        <w:rPr>
          <w:rFonts w:hint="eastAsia" w:ascii="宋体" w:hAnsi="宋体" w:eastAsia="宋体" w:cs="宋体"/>
          <w:sz w:val="21"/>
          <w:szCs w:val="21"/>
          <w:highlight w:val="none"/>
          <w:lang w:eastAsia="zh-CN"/>
        </w:rPr>
        <w:t>咸阳市秦都区人民法院档案信息化设施设备项目</w:t>
      </w:r>
      <w:r>
        <w:rPr>
          <w:rFonts w:hint="eastAsia" w:ascii="宋体" w:hAnsi="宋体" w:eastAsia="宋体" w:cs="宋体"/>
          <w:sz w:val="21"/>
          <w:szCs w:val="21"/>
          <w:highlight w:val="none"/>
        </w:rPr>
        <w:t>)特定资格要求如下:</w:t>
      </w:r>
    </w:p>
    <w:p w14:paraId="067C2412">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1、响应主体：具有独立承担民事责任能力的法人、其他组织或自然人，提供合法有效的统一社会信用代码营业执照（事业单位提供事业单位法人证书，自然人提供身份证明）</w:t>
      </w:r>
      <w:r>
        <w:rPr>
          <w:rFonts w:hint="eastAsia" w:ascii="宋体" w:hAnsi="宋体" w:eastAsia="宋体" w:cs="宋体"/>
          <w:sz w:val="21"/>
          <w:szCs w:val="21"/>
          <w:highlight w:val="none"/>
          <w:lang w:eastAsia="zh-CN"/>
        </w:rPr>
        <w:t>；</w:t>
      </w:r>
    </w:p>
    <w:p w14:paraId="541BA8BB">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财务状况报告：法人提供经审计的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w:t>
      </w:r>
      <w:r>
        <w:rPr>
          <w:rFonts w:hint="eastAsia" w:ascii="宋体" w:hAnsi="宋体" w:eastAsia="宋体" w:cs="宋体"/>
          <w:sz w:val="21"/>
          <w:szCs w:val="21"/>
          <w:highlight w:val="none"/>
          <w:lang w:val="en-US" w:eastAsia="zh-CN"/>
        </w:rPr>
        <w:t>投标</w:t>
      </w:r>
      <w:r>
        <w:rPr>
          <w:rFonts w:hint="eastAsia" w:ascii="宋体" w:hAnsi="宋体" w:eastAsia="宋体" w:cs="宋体"/>
          <w:sz w:val="21"/>
          <w:szCs w:val="21"/>
          <w:highlight w:val="none"/>
        </w:rPr>
        <w:t>文件递交截止时间不足一年的可提供成立后任意时段的资产负债表）或</w:t>
      </w:r>
      <w:r>
        <w:rPr>
          <w:rFonts w:hint="eastAsia" w:ascii="宋体" w:hAnsi="宋体" w:eastAsia="宋体" w:cs="宋体"/>
          <w:sz w:val="21"/>
          <w:szCs w:val="21"/>
          <w:highlight w:val="none"/>
          <w:lang w:val="en-US" w:eastAsia="zh-CN"/>
        </w:rPr>
        <w:t>投标</w:t>
      </w:r>
      <w:r>
        <w:rPr>
          <w:rFonts w:hint="eastAsia" w:ascii="宋体" w:hAnsi="宋体" w:eastAsia="宋体" w:cs="宋体"/>
          <w:sz w:val="21"/>
          <w:szCs w:val="21"/>
          <w:highlight w:val="none"/>
        </w:rPr>
        <w:t>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r>
        <w:rPr>
          <w:rFonts w:hint="eastAsia" w:ascii="宋体" w:hAnsi="宋体" w:eastAsia="宋体" w:cs="宋体"/>
          <w:sz w:val="21"/>
          <w:szCs w:val="21"/>
          <w:highlight w:val="none"/>
          <w:lang w:eastAsia="zh-CN"/>
        </w:rPr>
        <w:t>；</w:t>
      </w:r>
    </w:p>
    <w:p w14:paraId="46F9570A">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3、社会保障资金缴纳证明：截止</w:t>
      </w:r>
      <w:r>
        <w:rPr>
          <w:rFonts w:hint="eastAsia" w:ascii="宋体" w:hAnsi="宋体" w:eastAsia="宋体" w:cs="宋体"/>
          <w:sz w:val="21"/>
          <w:szCs w:val="21"/>
          <w:highlight w:val="none"/>
          <w:lang w:val="en-US" w:eastAsia="zh-CN"/>
        </w:rPr>
        <w:t>投标</w:t>
      </w:r>
      <w:r>
        <w:rPr>
          <w:rFonts w:hint="eastAsia" w:ascii="宋体" w:hAnsi="宋体" w:eastAsia="宋体" w:cs="宋体"/>
          <w:sz w:val="21"/>
          <w:szCs w:val="21"/>
          <w:highlight w:val="none"/>
        </w:rPr>
        <w:t>时间前六个月内任意一个月的社会保障资金缴存单据或社保机构开具的社会保险参保缴费情况证明；依法不需要缴纳社会保障资金的投标人应提供相关文件证明</w:t>
      </w:r>
      <w:r>
        <w:rPr>
          <w:rFonts w:hint="eastAsia" w:ascii="宋体" w:hAnsi="宋体" w:eastAsia="宋体" w:cs="宋体"/>
          <w:sz w:val="21"/>
          <w:szCs w:val="21"/>
          <w:highlight w:val="none"/>
          <w:lang w:eastAsia="zh-CN"/>
        </w:rPr>
        <w:t>；</w:t>
      </w:r>
    </w:p>
    <w:p w14:paraId="153CB4C6">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4、税收缴纳证明：截止</w:t>
      </w:r>
      <w:r>
        <w:rPr>
          <w:rFonts w:hint="eastAsia" w:ascii="宋体" w:hAnsi="宋体" w:eastAsia="宋体" w:cs="宋体"/>
          <w:sz w:val="21"/>
          <w:szCs w:val="21"/>
          <w:highlight w:val="none"/>
          <w:lang w:val="en-US" w:eastAsia="zh-CN"/>
        </w:rPr>
        <w:t>投标</w:t>
      </w:r>
      <w:r>
        <w:rPr>
          <w:rFonts w:hint="eastAsia" w:ascii="宋体" w:hAnsi="宋体" w:eastAsia="宋体" w:cs="宋体"/>
          <w:sz w:val="21"/>
          <w:szCs w:val="21"/>
          <w:highlight w:val="none"/>
        </w:rPr>
        <w:t>时间前六个月内任意一个月的纳税证明或完税证明（任意税种），纳税证明或完税证明上应有代收机构或税务机关的公章或业务专用章；依法免税的投标人应提供相关文件证明</w:t>
      </w:r>
      <w:r>
        <w:rPr>
          <w:rFonts w:hint="eastAsia" w:ascii="宋体" w:hAnsi="宋体" w:eastAsia="宋体" w:cs="宋体"/>
          <w:sz w:val="21"/>
          <w:szCs w:val="21"/>
          <w:highlight w:val="none"/>
          <w:lang w:eastAsia="zh-CN"/>
        </w:rPr>
        <w:t>；</w:t>
      </w:r>
    </w:p>
    <w:p w14:paraId="38F27C06">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5、信用主体查询及声明：供应商不得为“信用中国”列入重大税收违法失信主体的供应商，不得为“中国执行信息公开网”网站中失信被执行人，不得为“中国政府采购网”政府采购严重违法失信行为记录名单中被财政部门禁止参加政府采购活动的供应商；供应商应提供参加本次政府采购活动前3年内在经营活动中没有重大违纪、未被列入失信被执行人、重大税收违法案件当事人名单、政府采购严重违法失信行为记录名单的书面声明。（以采购代理机构在</w:t>
      </w:r>
      <w:r>
        <w:rPr>
          <w:rFonts w:hint="eastAsia" w:ascii="宋体" w:hAnsi="宋体" w:eastAsia="宋体" w:cs="宋体"/>
          <w:sz w:val="21"/>
          <w:szCs w:val="21"/>
          <w:highlight w:val="none"/>
          <w:lang w:val="en-US" w:eastAsia="zh-CN"/>
        </w:rPr>
        <w:t>投标</w:t>
      </w:r>
      <w:r>
        <w:rPr>
          <w:rFonts w:hint="eastAsia" w:ascii="宋体" w:hAnsi="宋体" w:eastAsia="宋体" w:cs="宋体"/>
          <w:sz w:val="21"/>
          <w:szCs w:val="21"/>
          <w:highlight w:val="none"/>
        </w:rPr>
        <w:t>文件递交截止时间后当天查询记录为准）</w:t>
      </w:r>
      <w:r>
        <w:rPr>
          <w:rFonts w:hint="eastAsia" w:ascii="宋体" w:hAnsi="宋体" w:eastAsia="宋体" w:cs="宋体"/>
          <w:sz w:val="21"/>
          <w:szCs w:val="21"/>
          <w:highlight w:val="none"/>
          <w:lang w:eastAsia="zh-CN"/>
        </w:rPr>
        <w:t>；</w:t>
      </w:r>
    </w:p>
    <w:p w14:paraId="5303EC76">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6、提供具有履行本项目合同所必需的设备和专业能力的证明材料：提供具有履行本项目合同所必需的设备和专业能力的承诺</w:t>
      </w:r>
      <w:r>
        <w:rPr>
          <w:rFonts w:hint="eastAsia" w:ascii="宋体" w:hAnsi="宋体" w:eastAsia="宋体" w:cs="宋体"/>
          <w:sz w:val="21"/>
          <w:szCs w:val="21"/>
          <w:highlight w:val="none"/>
          <w:lang w:eastAsia="zh-CN"/>
        </w:rPr>
        <w:t>；</w:t>
      </w:r>
    </w:p>
    <w:p w14:paraId="41D3E15E">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7、法定代表人身份证明书/法定代表人授权委托书：法定代表人授权书及被授权人截止</w:t>
      </w:r>
      <w:r>
        <w:rPr>
          <w:rFonts w:hint="eastAsia" w:ascii="宋体" w:hAnsi="宋体" w:eastAsia="宋体" w:cs="宋体"/>
          <w:sz w:val="21"/>
          <w:szCs w:val="21"/>
          <w:highlight w:val="none"/>
          <w:lang w:val="en-US" w:eastAsia="zh-CN"/>
        </w:rPr>
        <w:t>投标</w:t>
      </w:r>
      <w:r>
        <w:rPr>
          <w:rFonts w:hint="eastAsia" w:ascii="宋体" w:hAnsi="宋体" w:eastAsia="宋体" w:cs="宋体"/>
          <w:sz w:val="21"/>
          <w:szCs w:val="21"/>
          <w:highlight w:val="none"/>
        </w:rPr>
        <w:t>时间前六个月内任意一个月的社保缴纳证明（法定代表人直接参加</w:t>
      </w:r>
      <w:r>
        <w:rPr>
          <w:rFonts w:hint="eastAsia" w:ascii="宋体" w:hAnsi="宋体" w:eastAsia="宋体" w:cs="宋体"/>
          <w:sz w:val="21"/>
          <w:szCs w:val="21"/>
          <w:highlight w:val="none"/>
          <w:lang w:val="en-US" w:eastAsia="zh-CN"/>
        </w:rPr>
        <w:t>投标</w:t>
      </w:r>
      <w:r>
        <w:rPr>
          <w:rFonts w:hint="eastAsia" w:ascii="宋体" w:hAnsi="宋体" w:eastAsia="宋体" w:cs="宋体"/>
          <w:sz w:val="21"/>
          <w:szCs w:val="21"/>
          <w:highlight w:val="none"/>
        </w:rPr>
        <w:t>，须提供法定代表人身份证明）</w:t>
      </w:r>
      <w:r>
        <w:rPr>
          <w:rFonts w:hint="eastAsia" w:ascii="宋体" w:hAnsi="宋体" w:eastAsia="宋体" w:cs="宋体"/>
          <w:sz w:val="21"/>
          <w:szCs w:val="21"/>
          <w:highlight w:val="none"/>
          <w:lang w:eastAsia="zh-CN"/>
        </w:rPr>
        <w:t>；</w:t>
      </w:r>
    </w:p>
    <w:p w14:paraId="21411B9B">
      <w:pPr>
        <w:pStyle w:val="19"/>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8、供应商须具备省级及以上国家保密局颁发的《国家秘密载体印制资质》乙级及以上资质（内容包含“涉密档案数字化加工”类）</w:t>
      </w:r>
      <w:r>
        <w:rPr>
          <w:rFonts w:hint="eastAsia" w:ascii="宋体" w:hAnsi="宋体" w:cs="宋体"/>
          <w:sz w:val="21"/>
          <w:szCs w:val="21"/>
          <w:highlight w:val="none"/>
          <w:lang w:val="en-US" w:eastAsia="zh-CN"/>
        </w:rPr>
        <w:t>，供应商为陕西省外企业的须提供在陕西省主管部门的备案证明 （甲级资质无需备案）</w:t>
      </w:r>
      <w:r>
        <w:rPr>
          <w:rFonts w:hint="eastAsia" w:ascii="宋体" w:hAnsi="宋体" w:eastAsia="宋体" w:cs="宋体"/>
          <w:sz w:val="21"/>
          <w:szCs w:val="21"/>
          <w:highlight w:val="none"/>
          <w:lang w:val="en-US" w:eastAsia="zh-CN"/>
        </w:rPr>
        <w:t>；</w:t>
      </w:r>
    </w:p>
    <w:p w14:paraId="71E2EF91">
      <w:pPr>
        <w:pStyle w:val="19"/>
        <w:spacing w:line="360" w:lineRule="auto"/>
        <w:rPr>
          <w:rFonts w:hint="eastAsia" w:ascii="宋体" w:hAnsi="宋体" w:eastAsia="宋体" w:cs="宋体"/>
          <w:highlight w:val="none"/>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、其他要求：（1）单位负责人为同一人或者存在直接控股、管理关系的不同供应商，不得同时参加同一合同项下的政府采购活动； （2）为本项目提供整体设计、规范编制或者项目管理、监理、检测等服务的供应商，不得再参加该采购项目的其他采购活动。</w:t>
      </w:r>
    </w:p>
    <w:p w14:paraId="090DD1FB">
      <w:pPr>
        <w:pStyle w:val="19"/>
        <w:spacing w:line="360" w:lineRule="auto"/>
        <w:outlineLvl w:val="3"/>
        <w:rPr>
          <w:rFonts w:hint="eastAsia" w:ascii="宋体" w:hAnsi="宋体" w:eastAsia="宋体" w:cs="宋体"/>
          <w:highlight w:val="none"/>
        </w:rPr>
      </w:pPr>
      <w:r>
        <w:rPr>
          <w:rFonts w:hint="eastAsia" w:ascii="宋体" w:hAnsi="宋体" w:eastAsia="宋体" w:cs="宋体"/>
          <w:b/>
          <w:sz w:val="24"/>
          <w:highlight w:val="none"/>
        </w:rPr>
        <w:t>三、获取招标文件</w:t>
      </w:r>
    </w:p>
    <w:p w14:paraId="71039ECD">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时间： 202</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年0</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月</w:t>
      </w:r>
      <w:r>
        <w:rPr>
          <w:rFonts w:hint="eastAsia" w:ascii="宋体" w:hAnsi="宋体" w:eastAsia="宋体" w:cs="宋体"/>
          <w:sz w:val="21"/>
          <w:szCs w:val="21"/>
          <w:highlight w:val="none"/>
          <w:lang w:val="en-US" w:eastAsia="zh-CN"/>
        </w:rPr>
        <w:t>09</w:t>
      </w:r>
      <w:r>
        <w:rPr>
          <w:rFonts w:hint="eastAsia" w:ascii="宋体" w:hAnsi="宋体" w:eastAsia="宋体" w:cs="宋体"/>
          <w:sz w:val="21"/>
          <w:szCs w:val="21"/>
          <w:highlight w:val="none"/>
        </w:rPr>
        <w:t>日 至 202</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年0</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月</w:t>
      </w: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日 ，每天上午 0</w:t>
      </w: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rPr>
        <w:t>:00:00 至 12:00:00 ，下午 1</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rPr>
        <w:t>:00:00 至 1</w:t>
      </w: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rPr>
        <w:t>:00:00 （北京时间）</w:t>
      </w:r>
    </w:p>
    <w:p w14:paraId="4BA17428">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途径：</w:t>
      </w:r>
      <w:r>
        <w:rPr>
          <w:rFonts w:hint="eastAsia" w:ascii="宋体" w:hAnsi="宋体" w:eastAsia="宋体" w:cs="宋体"/>
          <w:sz w:val="21"/>
          <w:szCs w:val="21"/>
          <w:highlight w:val="none"/>
          <w:lang w:eastAsia="zh-CN"/>
        </w:rPr>
        <w:t>西安市莲湖区丰庆路48号1幢三层305室</w:t>
      </w:r>
    </w:p>
    <w:p w14:paraId="4AA92BCD">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方式：现场获取</w:t>
      </w:r>
    </w:p>
    <w:p w14:paraId="63638B79">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售价： 0元</w:t>
      </w:r>
    </w:p>
    <w:p w14:paraId="7C0A6C7D">
      <w:pPr>
        <w:pStyle w:val="19"/>
        <w:spacing w:line="360" w:lineRule="auto"/>
        <w:outlineLvl w:val="3"/>
        <w:rPr>
          <w:rFonts w:hint="eastAsia" w:ascii="宋体" w:hAnsi="宋体" w:eastAsia="宋体" w:cs="宋体"/>
          <w:highlight w:val="none"/>
        </w:rPr>
      </w:pPr>
      <w:r>
        <w:rPr>
          <w:rFonts w:hint="eastAsia" w:ascii="宋体" w:hAnsi="宋体" w:eastAsia="宋体" w:cs="宋体"/>
          <w:b/>
          <w:sz w:val="24"/>
          <w:highlight w:val="none"/>
        </w:rPr>
        <w:t>四、提交投标文件截止时间、开标时间和地点</w:t>
      </w:r>
    </w:p>
    <w:p w14:paraId="5A72A600">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时间： 202</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年0</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月</w:t>
      </w:r>
      <w:r>
        <w:rPr>
          <w:rFonts w:hint="eastAsia" w:ascii="宋体" w:hAnsi="宋体" w:eastAsia="宋体" w:cs="宋体"/>
          <w:sz w:val="21"/>
          <w:szCs w:val="21"/>
          <w:highlight w:val="none"/>
          <w:lang w:val="en-US" w:eastAsia="zh-CN"/>
        </w:rPr>
        <w:t>29</w:t>
      </w:r>
      <w:r>
        <w:rPr>
          <w:rFonts w:hint="eastAsia" w:ascii="宋体" w:hAnsi="宋体" w:eastAsia="宋体" w:cs="宋体"/>
          <w:sz w:val="21"/>
          <w:szCs w:val="21"/>
          <w:highlight w:val="none"/>
        </w:rPr>
        <w:t>日</w:t>
      </w:r>
      <w:r>
        <w:rPr>
          <w:rFonts w:hint="eastAsia" w:ascii="宋体" w:hAnsi="宋体" w:eastAsia="宋体" w:cs="宋体"/>
          <w:sz w:val="21"/>
          <w:szCs w:val="21"/>
          <w:highlight w:val="none"/>
          <w:lang w:val="en-US" w:eastAsia="zh-CN"/>
        </w:rPr>
        <w:t>14</w:t>
      </w:r>
      <w:r>
        <w:rPr>
          <w:rFonts w:hint="eastAsia" w:ascii="宋体" w:hAnsi="宋体" w:eastAsia="宋体" w:cs="宋体"/>
          <w:sz w:val="21"/>
          <w:szCs w:val="21"/>
          <w:highlight w:val="none"/>
        </w:rPr>
        <w:t>时30分00秒 （北京时间）</w:t>
      </w:r>
    </w:p>
    <w:p w14:paraId="32968411">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提交投标文件地点：</w:t>
      </w:r>
      <w:r>
        <w:rPr>
          <w:rFonts w:hint="eastAsia" w:ascii="宋体" w:hAnsi="宋体" w:eastAsia="宋体" w:cs="宋体"/>
          <w:sz w:val="21"/>
          <w:szCs w:val="21"/>
          <w:highlight w:val="none"/>
          <w:lang w:eastAsia="zh-CN"/>
        </w:rPr>
        <w:t>西安市莲湖区丰庆路48号1幢三层305室</w:t>
      </w:r>
      <w:r>
        <w:rPr>
          <w:rFonts w:hint="eastAsia" w:ascii="宋体" w:hAnsi="宋体" w:eastAsia="宋体" w:cs="宋体"/>
          <w:sz w:val="21"/>
          <w:szCs w:val="21"/>
          <w:highlight w:val="none"/>
        </w:rPr>
        <w:t>纸质文件递交</w:t>
      </w:r>
    </w:p>
    <w:p w14:paraId="667473E8">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开标地点：</w:t>
      </w:r>
      <w:r>
        <w:rPr>
          <w:rFonts w:hint="eastAsia" w:ascii="宋体" w:hAnsi="宋体" w:eastAsia="宋体" w:cs="宋体"/>
          <w:sz w:val="21"/>
          <w:szCs w:val="21"/>
          <w:highlight w:val="none"/>
          <w:lang w:eastAsia="zh-CN"/>
        </w:rPr>
        <w:t>西安市莲湖区丰庆路48号1幢三层305室</w:t>
      </w:r>
    </w:p>
    <w:p w14:paraId="07DBF866">
      <w:pPr>
        <w:pStyle w:val="19"/>
        <w:spacing w:line="360" w:lineRule="auto"/>
        <w:outlineLvl w:val="3"/>
        <w:rPr>
          <w:rFonts w:hint="eastAsia" w:ascii="宋体" w:hAnsi="宋体" w:eastAsia="宋体" w:cs="宋体"/>
          <w:highlight w:val="none"/>
        </w:rPr>
      </w:pPr>
      <w:r>
        <w:rPr>
          <w:rFonts w:hint="eastAsia" w:ascii="宋体" w:hAnsi="宋体" w:eastAsia="宋体" w:cs="宋体"/>
          <w:b/>
          <w:sz w:val="24"/>
          <w:highlight w:val="none"/>
        </w:rPr>
        <w:t>五、公告期限</w:t>
      </w:r>
    </w:p>
    <w:p w14:paraId="0FDF9B4D">
      <w:pPr>
        <w:pStyle w:val="19"/>
        <w:spacing w:line="360" w:lineRule="auto"/>
        <w:rPr>
          <w:rFonts w:hint="eastAsia" w:ascii="宋体" w:hAnsi="宋体" w:eastAsia="宋体" w:cs="宋体"/>
          <w:highlight w:val="none"/>
        </w:rPr>
      </w:pPr>
      <w:r>
        <w:rPr>
          <w:rFonts w:hint="eastAsia" w:ascii="宋体" w:hAnsi="宋体" w:eastAsia="宋体" w:cs="宋体"/>
          <w:sz w:val="21"/>
          <w:szCs w:val="21"/>
          <w:highlight w:val="none"/>
        </w:rPr>
        <w:t>自本公告发布之日起5个工作日。</w:t>
      </w:r>
    </w:p>
    <w:p w14:paraId="4D051BA2">
      <w:pPr>
        <w:pStyle w:val="19"/>
        <w:spacing w:line="360" w:lineRule="auto"/>
        <w:outlineLvl w:val="3"/>
        <w:rPr>
          <w:rFonts w:hint="eastAsia" w:ascii="宋体" w:hAnsi="宋体" w:eastAsia="宋体" w:cs="宋体"/>
          <w:highlight w:val="none"/>
        </w:rPr>
      </w:pPr>
      <w:r>
        <w:rPr>
          <w:rFonts w:hint="eastAsia" w:ascii="宋体" w:hAnsi="宋体" w:eastAsia="宋体" w:cs="宋体"/>
          <w:b/>
          <w:sz w:val="24"/>
          <w:highlight w:val="none"/>
        </w:rPr>
        <w:t>六、其他补充事宜</w:t>
      </w:r>
    </w:p>
    <w:p w14:paraId="0A752122">
      <w:pPr>
        <w:pStyle w:val="19"/>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注：1、获取方式：获取文件请携带单位介绍信</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经办人身份证原件</w:t>
      </w:r>
      <w:r>
        <w:rPr>
          <w:rFonts w:hint="eastAsia" w:ascii="宋体" w:hAnsi="宋体" w:eastAsia="宋体" w:cs="宋体"/>
          <w:sz w:val="21"/>
          <w:szCs w:val="21"/>
          <w:highlight w:val="none"/>
          <w:lang w:val="en-US" w:eastAsia="zh-CN"/>
        </w:rPr>
        <w:t>及</w:t>
      </w:r>
      <w:r>
        <w:rPr>
          <w:rFonts w:hint="eastAsia" w:ascii="宋体" w:hAnsi="宋体" w:eastAsia="宋体" w:cs="宋体"/>
          <w:sz w:val="21"/>
          <w:szCs w:val="21"/>
          <w:highlight w:val="none"/>
        </w:rPr>
        <w:t>加盖投标人公章的身份证复印件（谢绝邮寄）。2、提示：请投标人按照陕西省财政厅关于政府采购供应商注册登记有关事项的通知中的要求，通过陕西省政府采购网（http://www.ccgp-shaanxi.gov.cn/）注册登记加入陕西省政府采购供应商库。</w:t>
      </w:r>
      <w:r>
        <w:rPr>
          <w:rFonts w:hint="eastAsia" w:ascii="宋体" w:hAnsi="宋体" w:eastAsia="宋体" w:cs="宋体"/>
          <w:sz w:val="21"/>
          <w:szCs w:val="21"/>
          <w:highlight w:val="none"/>
          <w:lang w:val="en-US" w:eastAsia="zh-CN"/>
        </w:rPr>
        <w:t>3、关于弃标的说明：供应商登记免费领取采购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若您因为一些特殊原因不能参加本次采购活动，请您务必以书面形式加盖单位公章，扫描后发送至邮箱：huazhijiandy@163.com告知我们，以便我们正常开展后期工作，同时也避免再次打扰您，感谢您的配合。</w:t>
      </w:r>
    </w:p>
    <w:p w14:paraId="06203B7A">
      <w:pPr>
        <w:pStyle w:val="19"/>
        <w:spacing w:line="360" w:lineRule="auto"/>
        <w:outlineLvl w:val="3"/>
        <w:rPr>
          <w:rFonts w:hint="eastAsia" w:ascii="宋体" w:hAnsi="宋体" w:eastAsia="宋体" w:cs="宋体"/>
          <w:highlight w:val="none"/>
        </w:rPr>
      </w:pPr>
      <w:r>
        <w:rPr>
          <w:rFonts w:hint="eastAsia" w:ascii="宋体" w:hAnsi="宋体" w:eastAsia="宋体" w:cs="宋体"/>
          <w:b/>
          <w:sz w:val="24"/>
          <w:highlight w:val="none"/>
        </w:rPr>
        <w:t>七、对本次招标提出询问，请按以下方式联系。</w:t>
      </w:r>
    </w:p>
    <w:p w14:paraId="4B854171">
      <w:pPr>
        <w:pStyle w:val="19"/>
        <w:spacing w:line="360" w:lineRule="auto"/>
        <w:outlineLvl w:val="5"/>
        <w:rPr>
          <w:rFonts w:hint="eastAsia" w:ascii="宋体" w:hAnsi="宋体" w:eastAsia="宋体" w:cs="宋体"/>
          <w:sz w:val="21"/>
          <w:szCs w:val="21"/>
          <w:highlight w:val="none"/>
        </w:rPr>
      </w:pPr>
      <w:r>
        <w:rPr>
          <w:rFonts w:hint="eastAsia" w:ascii="宋体" w:hAnsi="宋体" w:eastAsia="宋体" w:cs="宋体"/>
          <w:b/>
          <w:sz w:val="21"/>
          <w:szCs w:val="21"/>
          <w:highlight w:val="none"/>
        </w:rPr>
        <w:t>1.采购人信息</w:t>
      </w:r>
    </w:p>
    <w:p w14:paraId="4D1CA1B7">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r>
        <w:rPr>
          <w:rFonts w:hint="eastAsia" w:ascii="宋体" w:hAnsi="宋体" w:eastAsia="宋体" w:cs="宋体"/>
          <w:sz w:val="21"/>
          <w:szCs w:val="21"/>
          <w:highlight w:val="none"/>
          <w:lang w:eastAsia="zh-CN"/>
        </w:rPr>
        <w:t>咸阳市</w:t>
      </w:r>
      <w:r>
        <w:rPr>
          <w:rFonts w:hint="eastAsia" w:ascii="宋体" w:hAnsi="宋体" w:eastAsia="宋体" w:cs="宋体"/>
          <w:sz w:val="21"/>
          <w:szCs w:val="21"/>
          <w:highlight w:val="none"/>
        </w:rPr>
        <w:t>秦都区人民法院</w:t>
      </w:r>
    </w:p>
    <w:p w14:paraId="741CCFF8">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r>
        <w:rPr>
          <w:rFonts w:hint="eastAsia" w:ascii="宋体" w:hAnsi="宋体" w:eastAsia="宋体" w:cs="宋体"/>
          <w:sz w:val="21"/>
          <w:szCs w:val="21"/>
          <w:highlight w:val="none"/>
          <w:lang w:eastAsia="zh-CN"/>
        </w:rPr>
        <w:t>咸阳市秦都区玉泉东路</w:t>
      </w:r>
    </w:p>
    <w:p w14:paraId="2EEE8BA8">
      <w:pPr>
        <w:pStyle w:val="19"/>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val="en-US" w:eastAsia="zh-CN"/>
        </w:rPr>
        <w:t>029-33559613</w:t>
      </w:r>
    </w:p>
    <w:p w14:paraId="5CC000DF">
      <w:pPr>
        <w:pStyle w:val="19"/>
        <w:spacing w:line="360" w:lineRule="auto"/>
        <w:outlineLvl w:val="5"/>
        <w:rPr>
          <w:rFonts w:hint="eastAsia" w:ascii="宋体" w:hAnsi="宋体" w:eastAsia="宋体" w:cs="宋体"/>
          <w:sz w:val="21"/>
          <w:szCs w:val="21"/>
          <w:highlight w:val="none"/>
        </w:rPr>
      </w:pPr>
      <w:r>
        <w:rPr>
          <w:rFonts w:hint="eastAsia" w:ascii="宋体" w:hAnsi="宋体" w:eastAsia="宋体" w:cs="宋体"/>
          <w:b/>
          <w:sz w:val="21"/>
          <w:szCs w:val="21"/>
          <w:highlight w:val="none"/>
        </w:rPr>
        <w:t>2.采购代理机构信息</w:t>
      </w:r>
    </w:p>
    <w:p w14:paraId="59E80231">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名称：</w:t>
      </w:r>
      <w:r>
        <w:rPr>
          <w:rFonts w:hint="eastAsia" w:ascii="宋体" w:hAnsi="宋体" w:eastAsia="宋体" w:cs="宋体"/>
          <w:sz w:val="21"/>
          <w:szCs w:val="21"/>
          <w:highlight w:val="none"/>
          <w:lang w:eastAsia="zh-CN"/>
        </w:rPr>
        <w:t>华智建造价咨询有限公司</w:t>
      </w:r>
    </w:p>
    <w:p w14:paraId="6CE043E4">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r>
        <w:rPr>
          <w:rFonts w:hint="eastAsia" w:ascii="宋体" w:hAnsi="宋体" w:eastAsia="宋体" w:cs="宋体"/>
          <w:sz w:val="21"/>
          <w:szCs w:val="21"/>
          <w:highlight w:val="none"/>
          <w:lang w:val="en-US" w:eastAsia="zh-CN"/>
        </w:rPr>
        <w:t>西安市莲湖区丰庆路48号1幢三层305室</w:t>
      </w:r>
    </w:p>
    <w:p w14:paraId="72319BCC">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联系方式：</w:t>
      </w:r>
      <w:r>
        <w:rPr>
          <w:rFonts w:hint="eastAsia" w:ascii="宋体" w:hAnsi="宋体" w:eastAsia="宋体" w:cs="宋体"/>
          <w:sz w:val="21"/>
          <w:szCs w:val="21"/>
          <w:highlight w:val="none"/>
          <w:lang w:eastAsia="zh-CN"/>
        </w:rPr>
        <w:t>029-85798008</w:t>
      </w:r>
    </w:p>
    <w:p w14:paraId="56892FC4">
      <w:pPr>
        <w:pStyle w:val="19"/>
        <w:spacing w:line="360" w:lineRule="auto"/>
        <w:outlineLvl w:val="5"/>
        <w:rPr>
          <w:rFonts w:hint="eastAsia" w:ascii="宋体" w:hAnsi="宋体" w:eastAsia="宋体" w:cs="宋体"/>
          <w:sz w:val="21"/>
          <w:szCs w:val="21"/>
          <w:highlight w:val="none"/>
        </w:rPr>
      </w:pPr>
      <w:r>
        <w:rPr>
          <w:rFonts w:hint="eastAsia" w:ascii="宋体" w:hAnsi="宋体" w:eastAsia="宋体" w:cs="宋体"/>
          <w:b/>
          <w:sz w:val="21"/>
          <w:szCs w:val="21"/>
          <w:highlight w:val="none"/>
        </w:rPr>
        <w:t>3.项目联系方式</w:t>
      </w:r>
    </w:p>
    <w:p w14:paraId="04F4C88E">
      <w:pPr>
        <w:pStyle w:val="19"/>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项目联系人：</w:t>
      </w:r>
      <w:r>
        <w:rPr>
          <w:rFonts w:hint="eastAsia" w:ascii="宋体" w:hAnsi="宋体" w:eastAsia="宋体" w:cs="宋体"/>
          <w:sz w:val="21"/>
          <w:szCs w:val="21"/>
          <w:highlight w:val="none"/>
          <w:lang w:val="en-US" w:eastAsia="zh-CN"/>
        </w:rPr>
        <w:t>刘元、范萌、邓亚威、杨勇</w:t>
      </w:r>
    </w:p>
    <w:p w14:paraId="50B56524">
      <w:pPr>
        <w:pStyle w:val="19"/>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电话：</w:t>
      </w:r>
      <w:r>
        <w:rPr>
          <w:rFonts w:hint="eastAsia" w:ascii="宋体" w:hAnsi="宋体" w:eastAsia="宋体" w:cs="宋体"/>
          <w:sz w:val="21"/>
          <w:szCs w:val="21"/>
          <w:highlight w:val="none"/>
          <w:lang w:eastAsia="zh-CN"/>
        </w:rPr>
        <w:t>029-85798008</w:t>
      </w:r>
    </w:p>
    <w:p w14:paraId="25F6CD8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宋体" w:hAnsi="宋体" w:eastAsia="宋体" w:cs="宋体"/>
          <w:color w:val="auto"/>
          <w:sz w:val="24"/>
          <w:szCs w:val="24"/>
          <w:highlight w:val="none"/>
          <w:shd w:val="clear" w:color="auto" w:fill="auto"/>
        </w:rPr>
      </w:pPr>
    </w:p>
    <w:p w14:paraId="665364C2">
      <w:pPr>
        <w:keepNext w:val="0"/>
        <w:keepLines w:val="0"/>
        <w:pageBreakBefore w:val="0"/>
        <w:kinsoku/>
        <w:overflowPunct/>
        <w:topLinePunct w:val="0"/>
        <w:autoSpaceDE/>
        <w:autoSpaceDN/>
        <w:bidi w:val="0"/>
        <w:adjustRightInd/>
        <w:snapToGrid/>
        <w:spacing w:line="440" w:lineRule="exact"/>
        <w:textAlignment w:val="auto"/>
        <w:rPr>
          <w:rFonts w:hint="eastAsia" w:ascii="宋体" w:hAnsi="宋体" w:eastAsia="宋体" w:cs="宋体"/>
          <w:color w:val="auto"/>
          <w:sz w:val="24"/>
          <w:szCs w:val="24"/>
          <w:highlight w:val="none"/>
          <w:shd w:val="clear" w:color="auto" w:fill="auto"/>
        </w:rPr>
      </w:pPr>
    </w:p>
    <w:p w14:paraId="1C64FB6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20"/>
        <w:textAlignment w:val="auto"/>
        <w:rPr>
          <w:rFonts w:hint="eastAsia" w:ascii="宋体" w:hAnsi="宋体" w:eastAsia="宋体" w:cs="宋体"/>
          <w:color w:val="auto"/>
          <w:sz w:val="24"/>
          <w:szCs w:val="24"/>
          <w:highlight w:val="none"/>
          <w:shd w:val="clear" w:color="auto" w:fill="auto"/>
        </w:rPr>
      </w:pPr>
    </w:p>
    <w:p w14:paraId="2C88E92D">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20"/>
        <w:textAlignment w:val="auto"/>
        <w:rPr>
          <w:rFonts w:hint="eastAsia" w:ascii="宋体" w:hAnsi="宋体" w:eastAsia="宋体" w:cs="宋体"/>
          <w:color w:val="auto"/>
          <w:sz w:val="24"/>
          <w:szCs w:val="24"/>
          <w:highlight w:val="none"/>
          <w:shd w:val="clear" w:color="auto" w:fill="auto"/>
        </w:rPr>
      </w:pPr>
    </w:p>
    <w:p w14:paraId="78D0873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center"/>
        <w:textAlignment w:val="auto"/>
        <w:rPr>
          <w:rFonts w:hint="eastAsia" w:ascii="宋体" w:hAnsi="宋体" w:eastAsia="宋体" w:cs="宋体"/>
          <w:color w:val="auto"/>
          <w:sz w:val="32"/>
          <w:szCs w:val="32"/>
          <w:highlight w:val="none"/>
          <w:shd w:val="clear" w:color="auto" w:fill="auto"/>
        </w:rPr>
      </w:pPr>
      <w:bookmarkStart w:id="11" w:name="_Toc524440143"/>
      <w:bookmarkStart w:id="12" w:name="_Toc21155"/>
      <w:bookmarkStart w:id="13" w:name="_Toc20008"/>
      <w:bookmarkStart w:id="14" w:name="_Toc12106"/>
      <w:bookmarkStart w:id="15" w:name="_Toc26216"/>
      <w:r>
        <w:rPr>
          <w:rFonts w:hint="eastAsia" w:ascii="宋体" w:hAnsi="宋体" w:eastAsia="宋体" w:cs="宋体"/>
          <w:b/>
          <w:bCs/>
          <w:color w:val="auto"/>
          <w:sz w:val="32"/>
          <w:szCs w:val="32"/>
          <w:highlight w:val="none"/>
          <w:shd w:val="clear" w:color="auto" w:fill="auto"/>
          <w:lang w:eastAsia="zh-CN"/>
        </w:rPr>
        <w:t>第二章</w:t>
      </w:r>
      <w:r>
        <w:rPr>
          <w:rFonts w:hint="eastAsia" w:ascii="宋体" w:hAnsi="宋体" w:eastAsia="宋体" w:cs="宋体"/>
          <w:b/>
          <w:bCs/>
          <w:color w:val="auto"/>
          <w:sz w:val="32"/>
          <w:szCs w:val="32"/>
          <w:highlight w:val="none"/>
          <w:shd w:val="clear" w:color="auto" w:fill="auto"/>
          <w:lang w:val="en-US" w:eastAsia="zh-CN"/>
        </w:rPr>
        <w:t xml:space="preserve">  </w:t>
      </w:r>
      <w:r>
        <w:rPr>
          <w:rFonts w:hint="eastAsia" w:ascii="宋体" w:hAnsi="宋体" w:eastAsia="宋体" w:cs="宋体"/>
          <w:b/>
          <w:bCs/>
          <w:color w:val="auto"/>
          <w:sz w:val="32"/>
          <w:szCs w:val="32"/>
          <w:highlight w:val="none"/>
          <w:shd w:val="clear" w:color="auto" w:fill="auto"/>
          <w:lang w:eastAsia="zh-CN"/>
        </w:rPr>
        <w:t>供应商</w:t>
      </w:r>
      <w:r>
        <w:rPr>
          <w:rFonts w:hint="eastAsia" w:ascii="宋体" w:hAnsi="宋体" w:eastAsia="宋体" w:cs="宋体"/>
          <w:b/>
          <w:bCs/>
          <w:color w:val="auto"/>
          <w:sz w:val="32"/>
          <w:szCs w:val="32"/>
          <w:highlight w:val="none"/>
          <w:shd w:val="clear" w:color="auto" w:fill="auto"/>
        </w:rPr>
        <w:t>须知</w:t>
      </w:r>
      <w:bookmarkEnd w:id="11"/>
      <w:bookmarkEnd w:id="12"/>
      <w:bookmarkEnd w:id="13"/>
      <w:bookmarkEnd w:id="14"/>
      <w:bookmarkEnd w:id="15"/>
    </w:p>
    <w:p w14:paraId="0E719804">
      <w:pPr>
        <w:pStyle w:val="4"/>
        <w:spacing w:before="0" w:after="0" w:line="240" w:lineRule="auto"/>
        <w:jc w:val="center"/>
        <w:rPr>
          <w:rFonts w:hint="eastAsia" w:ascii="宋体" w:hAnsi="宋体" w:eastAsia="宋体" w:cs="宋体"/>
          <w:b w:val="0"/>
          <w:color w:val="auto"/>
          <w:sz w:val="15"/>
          <w:szCs w:val="15"/>
          <w:highlight w:val="none"/>
          <w:shd w:val="clear" w:color="auto" w:fill="auto"/>
        </w:rPr>
      </w:pPr>
      <w:bookmarkStart w:id="16" w:name="_Toc459049891"/>
      <w:bookmarkStart w:id="17" w:name="_Toc29397"/>
      <w:bookmarkStart w:id="18" w:name="_Toc30493"/>
      <w:bookmarkStart w:id="19" w:name="_Toc28987"/>
      <w:bookmarkStart w:id="20" w:name="_Toc459049722"/>
      <w:bookmarkStart w:id="21" w:name="_Toc14572"/>
      <w:r>
        <w:rPr>
          <w:rFonts w:hint="eastAsia" w:ascii="宋体" w:hAnsi="宋体" w:eastAsia="宋体" w:cs="宋体"/>
          <w:color w:val="auto"/>
          <w:highlight w:val="none"/>
          <w:shd w:val="clear" w:color="auto" w:fill="auto"/>
        </w:rPr>
        <w:t>一、</w:t>
      </w:r>
      <w:r>
        <w:rPr>
          <w:rFonts w:hint="eastAsia" w:ascii="宋体" w:hAnsi="宋体" w:eastAsia="宋体" w:cs="宋体"/>
          <w:color w:val="auto"/>
          <w:highlight w:val="none"/>
          <w:shd w:val="clear" w:color="auto" w:fill="auto"/>
          <w:lang w:eastAsia="zh-CN"/>
        </w:rPr>
        <w:t>供应商</w:t>
      </w:r>
      <w:r>
        <w:rPr>
          <w:rFonts w:hint="eastAsia" w:ascii="宋体" w:hAnsi="宋体" w:eastAsia="宋体" w:cs="宋体"/>
          <w:color w:val="auto"/>
          <w:highlight w:val="none"/>
          <w:shd w:val="clear" w:color="auto" w:fill="auto"/>
        </w:rPr>
        <w:t>须知前附表</w:t>
      </w:r>
      <w:bookmarkEnd w:id="16"/>
      <w:bookmarkEnd w:id="17"/>
      <w:bookmarkEnd w:id="18"/>
      <w:bookmarkEnd w:id="19"/>
      <w:bookmarkEnd w:id="20"/>
      <w:bookmarkEnd w:id="21"/>
    </w:p>
    <w:tbl>
      <w:tblPr>
        <w:tblStyle w:val="15"/>
        <w:tblW w:w="9819"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2294"/>
        <w:gridCol w:w="6715"/>
      </w:tblGrid>
      <w:tr w14:paraId="04A95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10" w:type="dxa"/>
            <w:noWrap w:val="0"/>
            <w:vAlign w:val="center"/>
          </w:tcPr>
          <w:p w14:paraId="597C2D26">
            <w:pPr>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序号</w:t>
            </w:r>
          </w:p>
        </w:tc>
        <w:tc>
          <w:tcPr>
            <w:tcW w:w="2294" w:type="dxa"/>
            <w:noWrap w:val="0"/>
            <w:vAlign w:val="center"/>
          </w:tcPr>
          <w:p w14:paraId="7D69FF80">
            <w:pPr>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条款名称</w:t>
            </w:r>
          </w:p>
        </w:tc>
        <w:tc>
          <w:tcPr>
            <w:tcW w:w="6715" w:type="dxa"/>
            <w:noWrap w:val="0"/>
            <w:vAlign w:val="center"/>
          </w:tcPr>
          <w:p w14:paraId="5CCD4A6B">
            <w:pPr>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说明和要求</w:t>
            </w:r>
          </w:p>
        </w:tc>
      </w:tr>
      <w:tr w14:paraId="0A06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10" w:type="dxa"/>
            <w:noWrap w:val="0"/>
            <w:vAlign w:val="center"/>
          </w:tcPr>
          <w:p w14:paraId="528724A3">
            <w:pPr>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w:t>
            </w:r>
          </w:p>
        </w:tc>
        <w:tc>
          <w:tcPr>
            <w:tcW w:w="2294" w:type="dxa"/>
            <w:noWrap w:val="0"/>
            <w:vAlign w:val="center"/>
          </w:tcPr>
          <w:p w14:paraId="097980CE">
            <w:pP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采购</w:t>
            </w:r>
            <w:r>
              <w:rPr>
                <w:rFonts w:hint="eastAsia" w:ascii="宋体" w:hAnsi="宋体" w:eastAsia="宋体" w:cs="宋体"/>
                <w:color w:val="auto"/>
                <w:sz w:val="24"/>
                <w:szCs w:val="24"/>
                <w:highlight w:val="none"/>
                <w:shd w:val="clear" w:color="auto" w:fill="auto"/>
                <w:lang w:val="en-US" w:eastAsia="zh-CN"/>
              </w:rPr>
              <w:t>人</w:t>
            </w:r>
          </w:p>
        </w:tc>
        <w:tc>
          <w:tcPr>
            <w:tcW w:w="6715" w:type="dxa"/>
            <w:noWrap w:val="0"/>
            <w:vAlign w:val="center"/>
          </w:tcPr>
          <w:p w14:paraId="7F162BFF">
            <w:pP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名称：咸阳市秦都区人民法院</w:t>
            </w:r>
          </w:p>
          <w:p w14:paraId="01FD9FF7">
            <w:pPr>
              <w:rPr>
                <w:rFonts w:hint="eastAsia" w:ascii="宋体" w:hAnsi="宋体" w:eastAsia="宋体" w:cs="宋体"/>
                <w:color w:val="auto"/>
                <w:sz w:val="24"/>
                <w:szCs w:val="24"/>
                <w:highlight w:val="none"/>
                <w:shd w:val="clear" w:color="auto" w:fill="auto"/>
                <w:lang w:val="en-US"/>
              </w:rPr>
            </w:pPr>
            <w:r>
              <w:rPr>
                <w:rFonts w:hint="eastAsia" w:ascii="宋体" w:hAnsi="宋体" w:eastAsia="宋体" w:cs="宋体"/>
                <w:color w:val="auto"/>
                <w:sz w:val="24"/>
                <w:szCs w:val="24"/>
                <w:highlight w:val="none"/>
                <w:shd w:val="clear" w:color="auto" w:fill="auto"/>
                <w:lang w:eastAsia="zh-CN"/>
              </w:rPr>
              <w:t>地址：咸阳市秦都区玉泉东路</w:t>
            </w:r>
          </w:p>
        </w:tc>
      </w:tr>
      <w:tr w14:paraId="4A770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trPr>
        <w:tc>
          <w:tcPr>
            <w:tcW w:w="810" w:type="dxa"/>
            <w:noWrap w:val="0"/>
            <w:vAlign w:val="center"/>
          </w:tcPr>
          <w:p w14:paraId="34FF7BF1">
            <w:pPr>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w:t>
            </w:r>
          </w:p>
        </w:tc>
        <w:tc>
          <w:tcPr>
            <w:tcW w:w="2294" w:type="dxa"/>
            <w:noWrap w:val="0"/>
            <w:vAlign w:val="center"/>
          </w:tcPr>
          <w:p w14:paraId="580A5F11">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采购代理机构</w:t>
            </w:r>
          </w:p>
        </w:tc>
        <w:tc>
          <w:tcPr>
            <w:tcW w:w="6715" w:type="dxa"/>
            <w:noWrap w:val="0"/>
            <w:vAlign w:val="center"/>
          </w:tcPr>
          <w:p w14:paraId="655B0E4B">
            <w:pP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名称：</w:t>
            </w:r>
            <w:r>
              <w:rPr>
                <w:rFonts w:hint="eastAsia" w:ascii="宋体" w:hAnsi="宋体" w:eastAsia="宋体" w:cs="宋体"/>
                <w:color w:val="auto"/>
                <w:sz w:val="24"/>
                <w:szCs w:val="24"/>
                <w:highlight w:val="none"/>
                <w:shd w:val="clear" w:color="auto" w:fill="auto"/>
                <w:lang w:eastAsia="zh-CN"/>
              </w:rPr>
              <w:t>华智建造价咨询有限公司</w:t>
            </w:r>
          </w:p>
          <w:p w14:paraId="344AFAFD">
            <w:pP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地址：</w:t>
            </w:r>
            <w:r>
              <w:rPr>
                <w:rFonts w:hint="eastAsia" w:ascii="宋体" w:hAnsi="宋体" w:eastAsia="宋体" w:cs="宋体"/>
                <w:color w:val="auto"/>
                <w:sz w:val="24"/>
                <w:szCs w:val="24"/>
                <w:highlight w:val="none"/>
                <w:shd w:val="clear" w:color="auto" w:fill="auto"/>
                <w:lang w:val="en-US" w:eastAsia="zh-CN"/>
              </w:rPr>
              <w:t>西安市莲湖区丰庆路48号1幢三层305室</w:t>
            </w:r>
          </w:p>
          <w:p w14:paraId="075A7A62">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联系人：</w:t>
            </w:r>
            <w:r>
              <w:rPr>
                <w:rFonts w:hint="eastAsia" w:ascii="宋体" w:hAnsi="宋体" w:eastAsia="宋体" w:cs="宋体"/>
                <w:color w:val="auto"/>
                <w:sz w:val="24"/>
                <w:szCs w:val="24"/>
                <w:highlight w:val="none"/>
                <w:shd w:val="clear" w:color="auto" w:fill="auto"/>
                <w:lang w:val="en-US" w:eastAsia="zh-CN"/>
              </w:rPr>
              <w:t>刘元、范萌、邓亚威、杨勇</w:t>
            </w:r>
          </w:p>
          <w:p w14:paraId="6D9E5517">
            <w:pP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联系方式：</w:t>
            </w:r>
            <w:r>
              <w:rPr>
                <w:rFonts w:hint="eastAsia" w:ascii="宋体" w:hAnsi="宋体" w:eastAsia="宋体" w:cs="宋体"/>
                <w:color w:val="auto"/>
                <w:sz w:val="24"/>
                <w:szCs w:val="24"/>
                <w:highlight w:val="none"/>
                <w:shd w:val="clear" w:color="auto" w:fill="auto"/>
                <w:lang w:eastAsia="zh-CN"/>
              </w:rPr>
              <w:t>029-85798008</w:t>
            </w:r>
          </w:p>
        </w:tc>
      </w:tr>
      <w:tr w14:paraId="3B093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810" w:type="dxa"/>
            <w:noWrap w:val="0"/>
            <w:vAlign w:val="center"/>
          </w:tcPr>
          <w:p w14:paraId="12B49F5A">
            <w:pPr>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3</w:t>
            </w:r>
          </w:p>
        </w:tc>
        <w:tc>
          <w:tcPr>
            <w:tcW w:w="2294" w:type="dxa"/>
            <w:noWrap w:val="0"/>
            <w:vAlign w:val="center"/>
          </w:tcPr>
          <w:p w14:paraId="20C7B983">
            <w:pP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供应商</w:t>
            </w:r>
          </w:p>
        </w:tc>
        <w:tc>
          <w:tcPr>
            <w:tcW w:w="6715" w:type="dxa"/>
            <w:noWrap w:val="0"/>
            <w:vAlign w:val="center"/>
          </w:tcPr>
          <w:p w14:paraId="346C39BA">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响应</w:t>
            </w:r>
            <w:r>
              <w:rPr>
                <w:rFonts w:hint="eastAsia" w:ascii="宋体" w:hAnsi="宋体" w:eastAsia="宋体" w:cs="宋体"/>
                <w:color w:val="auto"/>
                <w:sz w:val="24"/>
                <w:szCs w:val="24"/>
                <w:highlight w:val="none"/>
                <w:shd w:val="clear" w:color="auto" w:fill="auto"/>
              </w:rPr>
              <w:fldChar w:fldCharType="begin"/>
            </w:r>
            <w:r>
              <w:rPr>
                <w:rFonts w:hint="eastAsia" w:ascii="宋体" w:hAnsi="宋体" w:eastAsia="宋体" w:cs="宋体"/>
                <w:color w:val="auto"/>
                <w:sz w:val="24"/>
                <w:szCs w:val="24"/>
                <w:highlight w:val="none"/>
                <w:shd w:val="clear" w:color="auto" w:fill="auto"/>
              </w:rPr>
              <w:instrText xml:space="preserve"> HYPERLINK "http://baike.baidu.com/view/8707.htm" \t "_blank" </w:instrText>
            </w:r>
            <w:r>
              <w:rPr>
                <w:rFonts w:hint="eastAsia" w:ascii="宋体" w:hAnsi="宋体" w:eastAsia="宋体" w:cs="宋体"/>
                <w:color w:val="auto"/>
                <w:sz w:val="24"/>
                <w:szCs w:val="24"/>
                <w:highlight w:val="none"/>
                <w:shd w:val="clear" w:color="auto" w:fill="auto"/>
              </w:rPr>
              <w:fldChar w:fldCharType="separate"/>
            </w:r>
            <w:r>
              <w:rPr>
                <w:rFonts w:hint="eastAsia" w:ascii="宋体" w:hAnsi="宋体" w:eastAsia="宋体" w:cs="宋体"/>
                <w:color w:val="auto"/>
                <w:sz w:val="24"/>
                <w:szCs w:val="24"/>
                <w:highlight w:val="none"/>
                <w:shd w:val="clear" w:color="auto" w:fill="auto"/>
              </w:rPr>
              <w:t>招标</w:t>
            </w:r>
            <w:r>
              <w:rPr>
                <w:rFonts w:hint="eastAsia" w:ascii="宋体" w:hAnsi="宋体" w:eastAsia="宋体" w:cs="宋体"/>
                <w:color w:val="auto"/>
                <w:sz w:val="24"/>
                <w:szCs w:val="24"/>
                <w:highlight w:val="none"/>
                <w:shd w:val="clear" w:color="auto" w:fill="auto"/>
              </w:rPr>
              <w:fldChar w:fldCharType="end"/>
            </w:r>
            <w:r>
              <w:rPr>
                <w:rFonts w:hint="eastAsia" w:ascii="宋体" w:hAnsi="宋体" w:eastAsia="宋体" w:cs="宋体"/>
                <w:color w:val="auto"/>
                <w:sz w:val="24"/>
                <w:szCs w:val="24"/>
                <w:highlight w:val="none"/>
                <w:shd w:val="clear" w:color="auto" w:fill="auto"/>
              </w:rPr>
              <w:t>并且符合招标文件规定资格条件和参加投标竞争的法人、其他组织或者自然人</w:t>
            </w:r>
            <w:r>
              <w:rPr>
                <w:rFonts w:hint="eastAsia" w:ascii="宋体" w:hAnsi="宋体" w:eastAsia="宋体" w:cs="宋体"/>
                <w:color w:val="auto"/>
                <w:sz w:val="24"/>
                <w:szCs w:val="24"/>
                <w:highlight w:val="none"/>
                <w:shd w:val="clear" w:color="auto" w:fill="auto"/>
                <w:lang w:eastAsia="zh-CN"/>
              </w:rPr>
              <w:t>。</w:t>
            </w:r>
          </w:p>
        </w:tc>
      </w:tr>
      <w:tr w14:paraId="1B096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10" w:type="dxa"/>
            <w:noWrap w:val="0"/>
            <w:vAlign w:val="center"/>
          </w:tcPr>
          <w:p w14:paraId="474474A3">
            <w:pPr>
              <w:jc w:val="cente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4</w:t>
            </w:r>
          </w:p>
        </w:tc>
        <w:tc>
          <w:tcPr>
            <w:tcW w:w="2294" w:type="dxa"/>
            <w:noWrap w:val="0"/>
            <w:vAlign w:val="center"/>
          </w:tcPr>
          <w:p w14:paraId="0D236C88">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项目名称</w:t>
            </w:r>
          </w:p>
        </w:tc>
        <w:tc>
          <w:tcPr>
            <w:tcW w:w="6715" w:type="dxa"/>
            <w:noWrap w:val="0"/>
            <w:vAlign w:val="center"/>
          </w:tcPr>
          <w:p w14:paraId="4CF47C5A">
            <w:pPr>
              <w:rPr>
                <w:rFonts w:hint="eastAsia" w:ascii="宋体" w:hAnsi="宋体" w:eastAsia="宋体" w:cs="宋体"/>
                <w:color w:val="auto"/>
                <w:sz w:val="24"/>
                <w:szCs w:val="24"/>
                <w:highlight w:val="none"/>
                <w:shd w:val="clear" w:color="auto" w:fill="auto"/>
              </w:rPr>
            </w:pPr>
            <w:r>
              <w:rPr>
                <w:rFonts w:hint="eastAsia" w:ascii="宋体" w:hAnsi="宋体" w:eastAsia="宋体" w:cs="宋体"/>
                <w:i w:val="0"/>
                <w:iCs w:val="0"/>
                <w:caps w:val="0"/>
                <w:color w:val="auto"/>
                <w:spacing w:val="0"/>
                <w:sz w:val="24"/>
                <w:szCs w:val="24"/>
                <w:highlight w:val="none"/>
                <w:shd w:val="clear" w:color="auto" w:fill="auto"/>
                <w:lang w:val="en-US" w:eastAsia="zh-CN"/>
              </w:rPr>
              <w:t>咸阳市秦都区人民法院档案信息化设施设备项目</w:t>
            </w:r>
          </w:p>
        </w:tc>
      </w:tr>
      <w:tr w14:paraId="7AA0A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10" w:type="dxa"/>
            <w:noWrap w:val="0"/>
            <w:vAlign w:val="center"/>
          </w:tcPr>
          <w:p w14:paraId="082DC670">
            <w:pPr>
              <w:jc w:val="cente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5</w:t>
            </w:r>
          </w:p>
        </w:tc>
        <w:tc>
          <w:tcPr>
            <w:tcW w:w="2294" w:type="dxa"/>
            <w:noWrap w:val="0"/>
            <w:vAlign w:val="center"/>
          </w:tcPr>
          <w:p w14:paraId="6B79BC40">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项目编号</w:t>
            </w:r>
          </w:p>
        </w:tc>
        <w:tc>
          <w:tcPr>
            <w:tcW w:w="6715" w:type="dxa"/>
            <w:noWrap w:val="0"/>
            <w:vAlign w:val="center"/>
          </w:tcPr>
          <w:p w14:paraId="075C2CA0">
            <w:pP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eastAsia="zh-CN"/>
              </w:rPr>
              <w:t>HZJZS2026-0158</w:t>
            </w:r>
          </w:p>
        </w:tc>
      </w:tr>
      <w:tr w14:paraId="7EAC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10" w:type="dxa"/>
            <w:noWrap w:val="0"/>
            <w:vAlign w:val="center"/>
          </w:tcPr>
          <w:p w14:paraId="2D6EF31E">
            <w:pPr>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6</w:t>
            </w:r>
          </w:p>
        </w:tc>
        <w:tc>
          <w:tcPr>
            <w:tcW w:w="2294" w:type="dxa"/>
            <w:noWrap w:val="0"/>
            <w:vAlign w:val="center"/>
          </w:tcPr>
          <w:p w14:paraId="5CD1DC9C">
            <w:pP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供货地点</w:t>
            </w:r>
          </w:p>
        </w:tc>
        <w:tc>
          <w:tcPr>
            <w:tcW w:w="6715" w:type="dxa"/>
            <w:noWrap w:val="0"/>
            <w:vAlign w:val="center"/>
          </w:tcPr>
          <w:p w14:paraId="2834D6AC">
            <w:pP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采购人指定地点</w:t>
            </w:r>
          </w:p>
        </w:tc>
      </w:tr>
      <w:tr w14:paraId="366C4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10" w:type="dxa"/>
            <w:noWrap w:val="0"/>
            <w:vAlign w:val="center"/>
          </w:tcPr>
          <w:p w14:paraId="28BE0F20">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7</w:t>
            </w:r>
          </w:p>
        </w:tc>
        <w:tc>
          <w:tcPr>
            <w:tcW w:w="2294" w:type="dxa"/>
            <w:noWrap w:val="0"/>
            <w:vAlign w:val="center"/>
          </w:tcPr>
          <w:p w14:paraId="32A69209">
            <w:pP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采购标的物所属行业</w:t>
            </w:r>
          </w:p>
        </w:tc>
        <w:tc>
          <w:tcPr>
            <w:tcW w:w="6715" w:type="dxa"/>
            <w:noWrap w:val="0"/>
            <w:vAlign w:val="center"/>
          </w:tcPr>
          <w:p w14:paraId="36764A5F">
            <w:pPr>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工业：</w:t>
            </w:r>
            <w:r>
              <w:rPr>
                <w:rFonts w:hint="eastAsia" w:ascii="宋体" w:hAnsi="宋体" w:eastAsia="宋体" w:cs="宋体"/>
                <w:b w:val="0"/>
                <w:bCs w:val="0"/>
                <w:color w:val="auto"/>
                <w:sz w:val="24"/>
                <w:szCs w:val="24"/>
                <w:highlight w:val="none"/>
                <w:shd w:val="clear" w:color="auto" w:fill="auto"/>
                <w:lang w:val="en-US" w:eastAsia="zh-CN"/>
              </w:rPr>
              <w:t>从业人员 1000人以下或营业收入40000万元以下的为中小微型企业。其中，从业人员300人及以上，且营业收入2000万元及以上的为中型企业;从业人员 20人及以上，且营业收入300万元及以上的为小型企业;从业人员20人以下或营业收入300万元以下的为微型企业。</w:t>
            </w:r>
          </w:p>
        </w:tc>
      </w:tr>
      <w:tr w14:paraId="3A86E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10" w:type="dxa"/>
            <w:noWrap w:val="0"/>
            <w:vAlign w:val="center"/>
          </w:tcPr>
          <w:p w14:paraId="75A67823">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8</w:t>
            </w:r>
          </w:p>
        </w:tc>
        <w:tc>
          <w:tcPr>
            <w:tcW w:w="2294" w:type="dxa"/>
            <w:noWrap w:val="0"/>
            <w:vAlign w:val="center"/>
          </w:tcPr>
          <w:p w14:paraId="7B945C81">
            <w:pPr>
              <w:spacing w:line="276" w:lineRule="auto"/>
              <w:ind w:left="-13" w:leftChars="0"/>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是否预留份额专门面向中小企业采购</w:t>
            </w:r>
          </w:p>
        </w:tc>
        <w:tc>
          <w:tcPr>
            <w:tcW w:w="6715" w:type="dxa"/>
            <w:noWrap w:val="0"/>
            <w:vAlign w:val="center"/>
          </w:tcPr>
          <w:p w14:paraId="32B33590">
            <w:pPr>
              <w:widowControl w:val="0"/>
              <w:spacing w:line="276" w:lineRule="auto"/>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w:t>
            </w:r>
            <w:r>
              <w:rPr>
                <w:rFonts w:hint="eastAsia" w:ascii="宋体" w:hAnsi="宋体" w:eastAsia="宋体" w:cs="宋体"/>
                <w:color w:val="auto"/>
                <w:sz w:val="24"/>
                <w:szCs w:val="24"/>
                <w:highlight w:val="none"/>
                <w:shd w:val="clear" w:color="auto" w:fill="auto"/>
              </w:rPr>
              <w:t xml:space="preserve">是  </w:t>
            </w: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否</w:t>
            </w:r>
          </w:p>
        </w:tc>
      </w:tr>
      <w:tr w14:paraId="3685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10" w:type="dxa"/>
            <w:noWrap w:val="0"/>
            <w:vAlign w:val="center"/>
          </w:tcPr>
          <w:p w14:paraId="122A22DF">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9</w:t>
            </w:r>
          </w:p>
        </w:tc>
        <w:tc>
          <w:tcPr>
            <w:tcW w:w="2294" w:type="dxa"/>
            <w:noWrap w:val="0"/>
            <w:vAlign w:val="center"/>
          </w:tcPr>
          <w:p w14:paraId="1F4E11C8">
            <w:pP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投标</w:t>
            </w:r>
            <w:r>
              <w:rPr>
                <w:rFonts w:hint="eastAsia" w:ascii="宋体" w:hAnsi="宋体" w:eastAsia="宋体" w:cs="宋体"/>
                <w:color w:val="auto"/>
                <w:sz w:val="24"/>
                <w:szCs w:val="24"/>
                <w:highlight w:val="none"/>
                <w:shd w:val="clear" w:color="auto" w:fill="auto"/>
                <w:lang w:val="en-US" w:eastAsia="zh-CN"/>
              </w:rPr>
              <w:t>最高限价</w:t>
            </w:r>
          </w:p>
        </w:tc>
        <w:tc>
          <w:tcPr>
            <w:tcW w:w="6715" w:type="dxa"/>
            <w:noWrap w:val="0"/>
            <w:vAlign w:val="center"/>
          </w:tcPr>
          <w:p w14:paraId="799B68E7">
            <w:pP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最高限价：捌拾伍万元整（¥850000.00元）</w:t>
            </w:r>
          </w:p>
          <w:p w14:paraId="0A49DC01">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投标</w:t>
            </w:r>
            <w:r>
              <w:rPr>
                <w:rFonts w:hint="eastAsia" w:ascii="宋体" w:hAnsi="宋体" w:eastAsia="宋体" w:cs="宋体"/>
                <w:color w:val="auto"/>
                <w:sz w:val="24"/>
                <w:szCs w:val="24"/>
                <w:highlight w:val="none"/>
                <w:shd w:val="clear" w:color="auto" w:fill="auto"/>
              </w:rPr>
              <w:t>报价超出</w:t>
            </w:r>
            <w:r>
              <w:rPr>
                <w:rFonts w:hint="eastAsia" w:ascii="宋体" w:hAnsi="宋体" w:eastAsia="宋体" w:cs="宋体"/>
                <w:color w:val="auto"/>
                <w:sz w:val="24"/>
                <w:szCs w:val="24"/>
                <w:highlight w:val="none"/>
                <w:shd w:val="clear" w:color="auto" w:fill="auto"/>
                <w:lang w:val="en-US" w:eastAsia="zh-CN"/>
              </w:rPr>
              <w:t>最高限价的</w:t>
            </w:r>
            <w:r>
              <w:rPr>
                <w:rFonts w:hint="eastAsia" w:ascii="宋体" w:hAnsi="宋体" w:eastAsia="宋体" w:cs="宋体"/>
                <w:color w:val="auto"/>
                <w:sz w:val="24"/>
                <w:szCs w:val="24"/>
                <w:highlight w:val="none"/>
                <w:shd w:val="clear" w:color="auto" w:fill="auto"/>
              </w:rPr>
              <w:t>，按无效报价处理。</w:t>
            </w:r>
          </w:p>
          <w:p w14:paraId="24F7B8AB">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各供应商根据招标文件的规定，结合企业自身管理水平及市场行情自主报价，投标总报价不得超过采购预算。</w:t>
            </w:r>
          </w:p>
          <w:p w14:paraId="16875631">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凡因供应商对招标文件阅读疏忽或误解，或因对现场、环境、市场行情等了解不清而造成的后果和风险，由供应商负责；如供应商因此而提出索赔或服务期延长，采购人将不予批准。</w:t>
            </w:r>
          </w:p>
          <w:p w14:paraId="49E55407">
            <w:pPr>
              <w:rPr>
                <w:rFonts w:hint="eastAsia" w:ascii="宋体" w:hAnsi="宋体" w:eastAsia="宋体" w:cs="宋体"/>
                <w:highlight w:val="none"/>
              </w:rPr>
            </w:pPr>
            <w:r>
              <w:rPr>
                <w:rFonts w:hint="eastAsia" w:ascii="宋体" w:hAnsi="宋体" w:eastAsia="宋体" w:cs="宋体"/>
                <w:color w:val="auto"/>
                <w:sz w:val="24"/>
                <w:szCs w:val="24"/>
                <w:highlight w:val="none"/>
                <w:shd w:val="clear" w:color="auto" w:fill="auto"/>
              </w:rPr>
              <w:t>投标报价中应充分考虑本服务的各项内容，包含完成各项</w:t>
            </w:r>
            <w:r>
              <w:rPr>
                <w:rFonts w:hint="eastAsia" w:ascii="宋体" w:hAnsi="宋体" w:eastAsia="宋体" w:cs="宋体"/>
                <w:color w:val="auto"/>
                <w:sz w:val="24"/>
                <w:szCs w:val="24"/>
                <w:highlight w:val="none"/>
                <w:shd w:val="clear" w:color="auto" w:fill="auto"/>
                <w:lang w:val="en-US" w:eastAsia="zh-CN"/>
              </w:rPr>
              <w:t>工作</w:t>
            </w:r>
            <w:r>
              <w:rPr>
                <w:rFonts w:hint="eastAsia" w:ascii="宋体" w:hAnsi="宋体" w:eastAsia="宋体" w:cs="宋体"/>
                <w:color w:val="auto"/>
                <w:sz w:val="24"/>
                <w:szCs w:val="24"/>
                <w:highlight w:val="none"/>
                <w:shd w:val="clear" w:color="auto" w:fill="auto"/>
              </w:rPr>
              <w:t>所需的全部费用，包括但不限于人工费、</w:t>
            </w:r>
            <w:r>
              <w:rPr>
                <w:rFonts w:hint="eastAsia" w:ascii="宋体" w:hAnsi="宋体" w:eastAsia="宋体" w:cs="宋体"/>
                <w:color w:val="auto"/>
                <w:sz w:val="24"/>
                <w:szCs w:val="24"/>
                <w:highlight w:val="none"/>
                <w:shd w:val="clear" w:color="auto" w:fill="auto"/>
                <w:lang w:val="en-US" w:eastAsia="zh-CN"/>
              </w:rPr>
              <w:t>材料</w:t>
            </w:r>
            <w:r>
              <w:rPr>
                <w:rFonts w:hint="eastAsia" w:ascii="宋体" w:hAnsi="宋体" w:eastAsia="宋体" w:cs="宋体"/>
                <w:color w:val="auto"/>
                <w:sz w:val="24"/>
                <w:szCs w:val="24"/>
                <w:highlight w:val="none"/>
                <w:shd w:val="clear" w:color="auto" w:fill="auto"/>
              </w:rPr>
              <w:t>费、</w:t>
            </w:r>
            <w:r>
              <w:rPr>
                <w:rFonts w:hint="eastAsia" w:ascii="宋体" w:hAnsi="宋体" w:eastAsia="宋体" w:cs="宋体"/>
                <w:color w:val="auto"/>
                <w:sz w:val="24"/>
                <w:szCs w:val="24"/>
                <w:highlight w:val="none"/>
                <w:shd w:val="clear" w:color="auto" w:fill="auto"/>
                <w:lang w:val="en-US" w:eastAsia="zh-CN"/>
              </w:rPr>
              <w:t>保险</w:t>
            </w:r>
            <w:r>
              <w:rPr>
                <w:rFonts w:hint="eastAsia" w:ascii="宋体" w:hAnsi="宋体" w:eastAsia="宋体" w:cs="宋体"/>
                <w:color w:val="auto"/>
                <w:sz w:val="24"/>
                <w:szCs w:val="24"/>
                <w:highlight w:val="none"/>
                <w:shd w:val="clear" w:color="auto" w:fill="auto"/>
              </w:rPr>
              <w:t>费、</w:t>
            </w:r>
            <w:r>
              <w:rPr>
                <w:rFonts w:hint="eastAsia" w:ascii="宋体" w:hAnsi="宋体" w:eastAsia="宋体" w:cs="宋体"/>
                <w:color w:val="auto"/>
                <w:sz w:val="24"/>
                <w:szCs w:val="24"/>
                <w:highlight w:val="none"/>
                <w:shd w:val="clear" w:color="auto" w:fill="auto"/>
                <w:lang w:val="en-US" w:eastAsia="zh-CN"/>
              </w:rPr>
              <w:t>安装</w:t>
            </w:r>
            <w:r>
              <w:rPr>
                <w:rFonts w:hint="eastAsia" w:ascii="宋体" w:hAnsi="宋体" w:eastAsia="宋体" w:cs="宋体"/>
                <w:color w:val="auto"/>
                <w:sz w:val="24"/>
                <w:szCs w:val="24"/>
                <w:highlight w:val="none"/>
                <w:shd w:val="clear" w:color="auto" w:fill="auto"/>
              </w:rPr>
              <w:t>费、税费、管理费等所有可能产生的</w:t>
            </w:r>
            <w:r>
              <w:rPr>
                <w:rFonts w:hint="eastAsia" w:ascii="宋体" w:hAnsi="宋体" w:eastAsia="宋体" w:cs="宋体"/>
                <w:color w:val="auto"/>
                <w:sz w:val="24"/>
                <w:szCs w:val="24"/>
                <w:highlight w:val="none"/>
                <w:shd w:val="clear" w:color="auto" w:fill="auto"/>
                <w:lang w:val="en-US" w:eastAsia="zh-CN"/>
              </w:rPr>
              <w:t>全部</w:t>
            </w:r>
            <w:r>
              <w:rPr>
                <w:rFonts w:hint="eastAsia" w:ascii="宋体" w:hAnsi="宋体" w:eastAsia="宋体" w:cs="宋体"/>
                <w:color w:val="auto"/>
                <w:sz w:val="24"/>
                <w:szCs w:val="24"/>
                <w:highlight w:val="none"/>
                <w:shd w:val="clear" w:color="auto" w:fill="auto"/>
              </w:rPr>
              <w:t>费用。供应商漏报或不报，采购人将视为有关费用已包括在投标报价中而不予支付。</w:t>
            </w:r>
          </w:p>
        </w:tc>
      </w:tr>
      <w:tr w14:paraId="134B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10" w:type="dxa"/>
            <w:noWrap w:val="0"/>
            <w:vAlign w:val="center"/>
          </w:tcPr>
          <w:p w14:paraId="33260848">
            <w:pPr>
              <w:jc w:val="center"/>
              <w:rPr>
                <w:rFonts w:hint="eastAsia" w:ascii="宋体" w:hAnsi="宋体" w:eastAsia="宋体" w:cs="宋体"/>
                <w:color w:val="auto"/>
                <w:kern w:val="0"/>
                <w:sz w:val="24"/>
                <w:szCs w:val="24"/>
                <w:highlight w:val="none"/>
                <w:shd w:val="clear" w:color="auto" w:fill="auto"/>
                <w:lang w:val="en-US" w:eastAsia="zh-CN" w:bidi="ar-SA"/>
              </w:rPr>
            </w:pPr>
            <w:r>
              <w:rPr>
                <w:rFonts w:hint="eastAsia" w:ascii="宋体" w:hAnsi="宋体" w:eastAsia="宋体" w:cs="宋体"/>
                <w:color w:val="auto"/>
                <w:kern w:val="0"/>
                <w:sz w:val="24"/>
                <w:szCs w:val="24"/>
                <w:highlight w:val="none"/>
                <w:shd w:val="clear" w:color="auto" w:fill="auto"/>
                <w:lang w:val="en-US" w:eastAsia="zh-CN"/>
              </w:rPr>
              <w:t>10</w:t>
            </w:r>
          </w:p>
        </w:tc>
        <w:tc>
          <w:tcPr>
            <w:tcW w:w="2294" w:type="dxa"/>
            <w:noWrap w:val="0"/>
            <w:vAlign w:val="center"/>
          </w:tcPr>
          <w:p w14:paraId="70BDFD42">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采购</w:t>
            </w:r>
            <w:r>
              <w:rPr>
                <w:rFonts w:hint="eastAsia" w:ascii="宋体" w:hAnsi="宋体" w:eastAsia="宋体" w:cs="宋体"/>
                <w:color w:val="auto"/>
                <w:sz w:val="24"/>
                <w:szCs w:val="24"/>
                <w:highlight w:val="none"/>
                <w:shd w:val="clear" w:color="auto" w:fill="auto"/>
              </w:rPr>
              <w:t>内容和要求</w:t>
            </w:r>
          </w:p>
        </w:tc>
        <w:tc>
          <w:tcPr>
            <w:tcW w:w="6715" w:type="dxa"/>
            <w:noWrap w:val="0"/>
            <w:vAlign w:val="center"/>
          </w:tcPr>
          <w:p w14:paraId="554CCFBC">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咸阳市秦都区人民法院档案信息化设施设备项目采购内容:详见第四章。</w:t>
            </w:r>
          </w:p>
        </w:tc>
      </w:tr>
      <w:tr w14:paraId="328C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10" w:type="dxa"/>
            <w:noWrap w:val="0"/>
            <w:vAlign w:val="center"/>
          </w:tcPr>
          <w:p w14:paraId="508B99E1">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val="en-US" w:eastAsia="zh-CN"/>
              </w:rPr>
              <w:t>1</w:t>
            </w:r>
          </w:p>
        </w:tc>
        <w:tc>
          <w:tcPr>
            <w:tcW w:w="2294" w:type="dxa"/>
            <w:noWrap w:val="0"/>
            <w:vAlign w:val="center"/>
          </w:tcPr>
          <w:p w14:paraId="725B5CE1">
            <w:pPr>
              <w:rPr>
                <w:rFonts w:hint="eastAsia" w:ascii="宋体" w:hAnsi="宋体" w:eastAsia="宋体" w:cs="宋体"/>
                <w:color w:val="auto"/>
                <w:sz w:val="24"/>
                <w:szCs w:val="24"/>
                <w:highlight w:val="none"/>
                <w:shd w:val="clear" w:color="auto" w:fill="auto"/>
                <w:lang w:val="en-US"/>
              </w:rPr>
            </w:pPr>
            <w:r>
              <w:rPr>
                <w:rFonts w:hint="eastAsia" w:ascii="宋体" w:hAnsi="宋体" w:eastAsia="宋体" w:cs="宋体"/>
                <w:color w:val="auto"/>
                <w:sz w:val="24"/>
                <w:szCs w:val="24"/>
                <w:highlight w:val="none"/>
                <w:shd w:val="clear" w:color="auto" w:fill="auto"/>
                <w:lang w:val="en-US" w:eastAsia="zh-CN"/>
              </w:rPr>
              <w:t>供货期限</w:t>
            </w:r>
          </w:p>
        </w:tc>
        <w:tc>
          <w:tcPr>
            <w:tcW w:w="6715" w:type="dxa"/>
            <w:noWrap w:val="0"/>
            <w:vAlign w:val="center"/>
          </w:tcPr>
          <w:p w14:paraId="2F11E05D">
            <w:pP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自合同签订之日起30日历天</w:t>
            </w:r>
          </w:p>
        </w:tc>
      </w:tr>
      <w:tr w14:paraId="19D1E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10" w:type="dxa"/>
            <w:noWrap w:val="0"/>
            <w:vAlign w:val="center"/>
          </w:tcPr>
          <w:p w14:paraId="44B1FF4C">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val="en-US" w:eastAsia="zh-CN"/>
              </w:rPr>
              <w:t>2</w:t>
            </w:r>
          </w:p>
        </w:tc>
        <w:tc>
          <w:tcPr>
            <w:tcW w:w="2294" w:type="dxa"/>
            <w:noWrap w:val="0"/>
            <w:vAlign w:val="center"/>
          </w:tcPr>
          <w:p w14:paraId="6144D1E2">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质量标准</w:t>
            </w:r>
          </w:p>
        </w:tc>
        <w:tc>
          <w:tcPr>
            <w:tcW w:w="6715" w:type="dxa"/>
            <w:noWrap w:val="0"/>
            <w:vAlign w:val="center"/>
          </w:tcPr>
          <w:p w14:paraId="77BE0FB0">
            <w:pP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000000"/>
                <w:sz w:val="24"/>
                <w:szCs w:val="24"/>
                <w:highlight w:val="none"/>
              </w:rPr>
              <w:t>符合国家、省、市及相关部门的质量标准要求。</w:t>
            </w:r>
          </w:p>
        </w:tc>
      </w:tr>
      <w:tr w14:paraId="2F71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10" w:type="dxa"/>
            <w:noWrap w:val="0"/>
            <w:vAlign w:val="center"/>
          </w:tcPr>
          <w:p w14:paraId="138C2FE9">
            <w:pPr>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13</w:t>
            </w:r>
          </w:p>
        </w:tc>
        <w:tc>
          <w:tcPr>
            <w:tcW w:w="2294" w:type="dxa"/>
            <w:noWrap w:val="0"/>
            <w:vAlign w:val="center"/>
          </w:tcPr>
          <w:p w14:paraId="29D5DD06">
            <w:pP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质保期</w:t>
            </w:r>
          </w:p>
        </w:tc>
        <w:tc>
          <w:tcPr>
            <w:tcW w:w="6715" w:type="dxa"/>
            <w:noWrap w:val="0"/>
            <w:vAlign w:val="center"/>
          </w:tcPr>
          <w:p w14:paraId="005DE2B0">
            <w:pPr>
              <w:pStyle w:val="20"/>
              <w:spacing w:line="240" w:lineRule="auto"/>
              <w:jc w:val="both"/>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终验合格后12个月</w:t>
            </w:r>
          </w:p>
        </w:tc>
      </w:tr>
      <w:tr w14:paraId="78BB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10" w:type="dxa"/>
            <w:noWrap w:val="0"/>
            <w:vAlign w:val="center"/>
          </w:tcPr>
          <w:p w14:paraId="53586298">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14</w:t>
            </w:r>
          </w:p>
        </w:tc>
        <w:tc>
          <w:tcPr>
            <w:tcW w:w="2294" w:type="dxa"/>
            <w:noWrap w:val="0"/>
            <w:vAlign w:val="center"/>
          </w:tcPr>
          <w:p w14:paraId="6269C197">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联合体投标</w:t>
            </w:r>
          </w:p>
        </w:tc>
        <w:tc>
          <w:tcPr>
            <w:tcW w:w="6715" w:type="dxa"/>
            <w:noWrap w:val="0"/>
            <w:vAlign w:val="center"/>
          </w:tcPr>
          <w:p w14:paraId="7688AC64">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不接受</w:t>
            </w:r>
          </w:p>
        </w:tc>
      </w:tr>
      <w:tr w14:paraId="3939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10" w:type="dxa"/>
            <w:noWrap w:val="0"/>
            <w:vAlign w:val="center"/>
          </w:tcPr>
          <w:p w14:paraId="0795785D">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15</w:t>
            </w:r>
          </w:p>
        </w:tc>
        <w:tc>
          <w:tcPr>
            <w:tcW w:w="2294" w:type="dxa"/>
            <w:noWrap w:val="0"/>
            <w:vAlign w:val="center"/>
          </w:tcPr>
          <w:p w14:paraId="7C211780">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现场勘查、答疑会</w:t>
            </w:r>
          </w:p>
        </w:tc>
        <w:tc>
          <w:tcPr>
            <w:tcW w:w="6715" w:type="dxa"/>
            <w:noWrap w:val="0"/>
            <w:vAlign w:val="center"/>
          </w:tcPr>
          <w:p w14:paraId="62DDDEDA">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不组织。采购人认为有必要，另行书面通知。</w:t>
            </w:r>
          </w:p>
        </w:tc>
      </w:tr>
      <w:tr w14:paraId="4B528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10" w:type="dxa"/>
            <w:noWrap w:val="0"/>
            <w:vAlign w:val="center"/>
          </w:tcPr>
          <w:p w14:paraId="7F27B27A">
            <w:pPr>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16</w:t>
            </w:r>
          </w:p>
        </w:tc>
        <w:tc>
          <w:tcPr>
            <w:tcW w:w="2294" w:type="dxa"/>
            <w:noWrap w:val="0"/>
            <w:vAlign w:val="center"/>
          </w:tcPr>
          <w:p w14:paraId="114615BC">
            <w:pPr>
              <w:widowControl w:val="0"/>
              <w:spacing w:line="276" w:lineRule="auto"/>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000000"/>
                <w:sz w:val="24"/>
                <w:szCs w:val="24"/>
                <w:highlight w:val="none"/>
              </w:rPr>
              <w:t>分包</w:t>
            </w:r>
          </w:p>
        </w:tc>
        <w:tc>
          <w:tcPr>
            <w:tcW w:w="6715" w:type="dxa"/>
            <w:noWrap w:val="0"/>
            <w:vAlign w:val="center"/>
          </w:tcPr>
          <w:p w14:paraId="5AFFE0AC">
            <w:pPr>
              <w:widowControl w:val="0"/>
              <w:spacing w:line="276"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000000"/>
                <w:sz w:val="24"/>
                <w:szCs w:val="24"/>
                <w:highlight w:val="none"/>
              </w:rPr>
              <w:t>不允许分包</w:t>
            </w:r>
          </w:p>
        </w:tc>
      </w:tr>
      <w:tr w14:paraId="48CE3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10" w:type="dxa"/>
            <w:noWrap w:val="0"/>
            <w:vAlign w:val="center"/>
          </w:tcPr>
          <w:p w14:paraId="56DFB0AA">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17</w:t>
            </w:r>
          </w:p>
        </w:tc>
        <w:tc>
          <w:tcPr>
            <w:tcW w:w="2294" w:type="dxa"/>
            <w:noWrap w:val="0"/>
            <w:vAlign w:val="center"/>
          </w:tcPr>
          <w:p w14:paraId="784214F6">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对招标文件提出</w:t>
            </w:r>
            <w:r>
              <w:rPr>
                <w:rFonts w:hint="eastAsia" w:ascii="宋体" w:hAnsi="宋体" w:eastAsia="宋体" w:cs="宋体"/>
                <w:color w:val="auto"/>
                <w:sz w:val="24"/>
                <w:szCs w:val="24"/>
                <w:highlight w:val="none"/>
                <w:shd w:val="clear" w:color="auto" w:fill="auto"/>
                <w:lang w:val="en-US" w:eastAsia="zh-CN"/>
              </w:rPr>
              <w:t>质疑</w:t>
            </w:r>
            <w:r>
              <w:rPr>
                <w:rFonts w:hint="eastAsia" w:ascii="宋体" w:hAnsi="宋体" w:eastAsia="宋体" w:cs="宋体"/>
                <w:color w:val="auto"/>
                <w:sz w:val="24"/>
                <w:szCs w:val="24"/>
                <w:highlight w:val="none"/>
                <w:shd w:val="clear" w:color="auto" w:fill="auto"/>
              </w:rPr>
              <w:t>的时间</w:t>
            </w:r>
          </w:p>
        </w:tc>
        <w:tc>
          <w:tcPr>
            <w:tcW w:w="6715" w:type="dxa"/>
            <w:noWrap w:val="0"/>
            <w:vAlign w:val="center"/>
          </w:tcPr>
          <w:p w14:paraId="6DA81F6C">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若对招标文件有异议的，在投标截止时间10日前，以书面形式向采购代理机构提出，在此之后提出的异议无效。</w:t>
            </w:r>
          </w:p>
        </w:tc>
      </w:tr>
      <w:tr w14:paraId="62683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10" w:type="dxa"/>
            <w:noWrap w:val="0"/>
            <w:vAlign w:val="center"/>
          </w:tcPr>
          <w:p w14:paraId="03C44881">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18</w:t>
            </w:r>
          </w:p>
        </w:tc>
        <w:tc>
          <w:tcPr>
            <w:tcW w:w="2294" w:type="dxa"/>
            <w:noWrap w:val="0"/>
            <w:vAlign w:val="center"/>
          </w:tcPr>
          <w:p w14:paraId="5029A2A8">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构成招标文件的其他文件</w:t>
            </w:r>
          </w:p>
        </w:tc>
        <w:tc>
          <w:tcPr>
            <w:tcW w:w="6715" w:type="dxa"/>
            <w:noWrap w:val="0"/>
            <w:vAlign w:val="center"/>
          </w:tcPr>
          <w:p w14:paraId="3B3D4F65">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招标文件的澄清、修改书及有关补充通知为招标文件的有效组成部分。</w:t>
            </w:r>
          </w:p>
        </w:tc>
      </w:tr>
      <w:tr w14:paraId="685B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810" w:type="dxa"/>
            <w:noWrap w:val="0"/>
            <w:vAlign w:val="center"/>
          </w:tcPr>
          <w:p w14:paraId="3367B1C0">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val="en-US" w:eastAsia="zh-CN"/>
              </w:rPr>
              <w:t>9</w:t>
            </w:r>
          </w:p>
        </w:tc>
        <w:tc>
          <w:tcPr>
            <w:tcW w:w="2294" w:type="dxa"/>
            <w:noWrap w:val="0"/>
            <w:vAlign w:val="center"/>
          </w:tcPr>
          <w:p w14:paraId="31162908">
            <w:pPr>
              <w:pStyle w:val="20"/>
              <w:spacing w:line="240" w:lineRule="auto"/>
              <w:jc w:val="both"/>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投标文件递交截止时间及开标时间和地点</w:t>
            </w:r>
          </w:p>
        </w:tc>
        <w:tc>
          <w:tcPr>
            <w:tcW w:w="6715" w:type="dxa"/>
            <w:noWrap w:val="0"/>
            <w:vAlign w:val="center"/>
          </w:tcPr>
          <w:p w14:paraId="1B3D33B4">
            <w:pPr>
              <w:pStyle w:val="20"/>
              <w:spacing w:line="240" w:lineRule="auto"/>
              <w:ind w:left="240" w:hanging="240" w:hangingChars="100"/>
              <w:jc w:val="both"/>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1、递</w:t>
            </w:r>
            <w:r>
              <w:rPr>
                <w:rFonts w:hint="eastAsia" w:ascii="宋体" w:hAnsi="宋体" w:eastAsia="宋体" w:cs="宋体"/>
                <w:color w:val="auto"/>
                <w:kern w:val="2"/>
                <w:sz w:val="24"/>
                <w:szCs w:val="24"/>
                <w:highlight w:val="none"/>
                <w:shd w:val="clear" w:color="auto" w:fill="auto"/>
                <w:lang w:val="en-US" w:eastAsia="zh-CN" w:bidi="ar-SA"/>
              </w:rPr>
              <w:t>交文件截止时间：</w:t>
            </w:r>
            <w:r>
              <w:rPr>
                <w:rFonts w:hint="eastAsia" w:ascii="宋体" w:hAnsi="宋体" w:eastAsia="宋体" w:cs="宋体"/>
                <w:color w:val="auto"/>
                <w:sz w:val="24"/>
                <w:szCs w:val="24"/>
                <w:highlight w:val="none"/>
                <w:shd w:val="clear" w:color="auto" w:fill="auto"/>
                <w:lang w:val="en-US" w:eastAsia="zh-CN"/>
              </w:rPr>
              <w:t>详见招标公告</w:t>
            </w:r>
          </w:p>
          <w:p w14:paraId="196F845A">
            <w:pPr>
              <w:pStyle w:val="20"/>
              <w:spacing w:line="240" w:lineRule="auto"/>
              <w:ind w:left="240" w:hanging="240" w:hangingChars="100"/>
              <w:jc w:val="both"/>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2、开标时间：</w:t>
            </w:r>
            <w:r>
              <w:rPr>
                <w:rFonts w:hint="eastAsia" w:ascii="宋体" w:hAnsi="宋体" w:eastAsia="宋体" w:cs="宋体"/>
                <w:color w:val="auto"/>
                <w:sz w:val="24"/>
                <w:szCs w:val="24"/>
                <w:highlight w:val="none"/>
                <w:shd w:val="clear" w:color="auto" w:fill="auto"/>
                <w:lang w:val="en-US" w:eastAsia="zh-CN"/>
              </w:rPr>
              <w:t>详见招标公告</w:t>
            </w:r>
          </w:p>
          <w:p w14:paraId="36D01D5C">
            <w:pPr>
              <w:tabs>
                <w:tab w:val="left" w:pos="840"/>
              </w:tabs>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kern w:val="2"/>
                <w:sz w:val="24"/>
                <w:szCs w:val="24"/>
                <w:highlight w:val="none"/>
                <w:shd w:val="clear" w:color="auto" w:fill="auto"/>
                <w:lang w:val="en-US" w:eastAsia="zh-CN" w:bidi="ar-SA"/>
              </w:rPr>
              <w:t>3、开标地点：</w:t>
            </w:r>
            <w:r>
              <w:rPr>
                <w:rFonts w:hint="eastAsia" w:ascii="宋体" w:hAnsi="宋体" w:eastAsia="宋体" w:cs="宋体"/>
                <w:color w:val="auto"/>
                <w:sz w:val="24"/>
                <w:szCs w:val="24"/>
                <w:highlight w:val="none"/>
                <w:shd w:val="clear" w:color="auto" w:fill="auto"/>
                <w:lang w:val="en-US" w:eastAsia="zh-CN"/>
              </w:rPr>
              <w:t>详见招标公告</w:t>
            </w:r>
          </w:p>
        </w:tc>
      </w:tr>
      <w:tr w14:paraId="4ECC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10" w:type="dxa"/>
            <w:noWrap w:val="0"/>
            <w:vAlign w:val="center"/>
          </w:tcPr>
          <w:p w14:paraId="4B0BC899">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20</w:t>
            </w:r>
          </w:p>
        </w:tc>
        <w:tc>
          <w:tcPr>
            <w:tcW w:w="2294" w:type="dxa"/>
            <w:noWrap w:val="0"/>
            <w:vAlign w:val="center"/>
          </w:tcPr>
          <w:p w14:paraId="131186AB">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投标有效期</w:t>
            </w:r>
          </w:p>
        </w:tc>
        <w:tc>
          <w:tcPr>
            <w:tcW w:w="6715" w:type="dxa"/>
            <w:noWrap w:val="0"/>
            <w:vAlign w:val="center"/>
          </w:tcPr>
          <w:p w14:paraId="76F74E20">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pacing w:val="-4"/>
                <w:sz w:val="24"/>
                <w:szCs w:val="24"/>
                <w:highlight w:val="none"/>
                <w:shd w:val="clear" w:color="auto" w:fill="auto"/>
              </w:rPr>
              <w:t>自开标之日起算90日历日。</w:t>
            </w:r>
          </w:p>
        </w:tc>
      </w:tr>
      <w:tr w14:paraId="649DD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10" w:type="dxa"/>
            <w:noWrap w:val="0"/>
            <w:vAlign w:val="center"/>
          </w:tcPr>
          <w:p w14:paraId="39977C18">
            <w:pPr>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21</w:t>
            </w:r>
          </w:p>
        </w:tc>
        <w:tc>
          <w:tcPr>
            <w:tcW w:w="2294" w:type="dxa"/>
            <w:noWrap w:val="0"/>
            <w:vAlign w:val="center"/>
          </w:tcPr>
          <w:p w14:paraId="366276D0">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评标委员会组成</w:t>
            </w:r>
          </w:p>
        </w:tc>
        <w:tc>
          <w:tcPr>
            <w:tcW w:w="6715" w:type="dxa"/>
            <w:noWrap w:val="0"/>
            <w:vAlign w:val="center"/>
          </w:tcPr>
          <w:p w14:paraId="427FADEB">
            <w:pPr>
              <w:rPr>
                <w:rFonts w:hint="eastAsia" w:ascii="宋体" w:hAnsi="宋体" w:eastAsia="宋体" w:cs="宋体"/>
                <w:color w:val="auto"/>
                <w:spacing w:val="-4"/>
                <w:sz w:val="24"/>
                <w:szCs w:val="24"/>
                <w:highlight w:val="none"/>
                <w:shd w:val="clear" w:color="auto" w:fill="auto"/>
              </w:rPr>
            </w:pPr>
            <w:r>
              <w:rPr>
                <w:rFonts w:hint="eastAsia" w:ascii="宋体" w:hAnsi="宋体" w:eastAsia="宋体" w:cs="宋体"/>
                <w:color w:val="auto"/>
                <w:spacing w:val="-4"/>
                <w:sz w:val="24"/>
                <w:szCs w:val="24"/>
                <w:highlight w:val="none"/>
                <w:shd w:val="clear" w:color="auto" w:fill="auto"/>
              </w:rPr>
              <w:t xml:space="preserve">评标委员会构成： </w:t>
            </w:r>
            <w:r>
              <w:rPr>
                <w:rFonts w:hint="eastAsia" w:ascii="宋体" w:hAnsi="宋体" w:eastAsia="宋体" w:cs="宋体"/>
                <w:color w:val="auto"/>
                <w:spacing w:val="-4"/>
                <w:sz w:val="24"/>
                <w:szCs w:val="24"/>
                <w:highlight w:val="none"/>
                <w:u w:val="single"/>
                <w:shd w:val="clear" w:color="auto" w:fill="auto"/>
                <w:lang w:val="en-US" w:eastAsia="zh-CN"/>
              </w:rPr>
              <w:t>5</w:t>
            </w:r>
            <w:r>
              <w:rPr>
                <w:rFonts w:hint="eastAsia" w:ascii="宋体" w:hAnsi="宋体" w:eastAsia="宋体" w:cs="宋体"/>
                <w:color w:val="auto"/>
                <w:spacing w:val="-4"/>
                <w:sz w:val="24"/>
                <w:szCs w:val="24"/>
                <w:highlight w:val="none"/>
                <w:u w:val="single"/>
                <w:shd w:val="clear" w:color="auto" w:fill="auto"/>
              </w:rPr>
              <w:t>人</w:t>
            </w:r>
            <w:r>
              <w:rPr>
                <w:rFonts w:hint="eastAsia" w:ascii="宋体" w:hAnsi="宋体" w:eastAsia="宋体" w:cs="宋体"/>
                <w:color w:val="auto"/>
                <w:spacing w:val="-4"/>
                <w:sz w:val="24"/>
                <w:szCs w:val="24"/>
                <w:highlight w:val="none"/>
                <w:shd w:val="clear" w:color="auto" w:fill="auto"/>
              </w:rPr>
              <w:t xml:space="preserve">，其中：采购人代表 </w:t>
            </w:r>
            <w:r>
              <w:rPr>
                <w:rFonts w:hint="eastAsia" w:ascii="宋体" w:hAnsi="宋体" w:eastAsia="宋体" w:cs="宋体"/>
                <w:color w:val="auto"/>
                <w:spacing w:val="-4"/>
                <w:sz w:val="24"/>
                <w:szCs w:val="24"/>
                <w:highlight w:val="none"/>
                <w:u w:val="single"/>
                <w:shd w:val="clear" w:color="auto" w:fill="auto"/>
                <w:lang w:val="en-US" w:eastAsia="zh-CN"/>
              </w:rPr>
              <w:t>1</w:t>
            </w:r>
            <w:r>
              <w:rPr>
                <w:rFonts w:hint="eastAsia" w:ascii="宋体" w:hAnsi="宋体" w:eastAsia="宋体" w:cs="宋体"/>
                <w:color w:val="auto"/>
                <w:spacing w:val="-4"/>
                <w:sz w:val="24"/>
                <w:szCs w:val="24"/>
                <w:highlight w:val="none"/>
                <w:u w:val="single"/>
                <w:shd w:val="clear" w:color="auto" w:fill="auto"/>
              </w:rPr>
              <w:t>人</w:t>
            </w:r>
            <w:r>
              <w:rPr>
                <w:rFonts w:hint="eastAsia" w:ascii="宋体" w:hAnsi="宋体" w:eastAsia="宋体" w:cs="宋体"/>
                <w:color w:val="auto"/>
                <w:spacing w:val="-4"/>
                <w:sz w:val="24"/>
                <w:szCs w:val="24"/>
                <w:highlight w:val="none"/>
                <w:shd w:val="clear" w:color="auto" w:fill="auto"/>
              </w:rPr>
              <w:t>；专家</w:t>
            </w:r>
            <w:r>
              <w:rPr>
                <w:rFonts w:hint="eastAsia" w:ascii="宋体" w:hAnsi="宋体" w:eastAsia="宋体" w:cs="宋体"/>
                <w:color w:val="auto"/>
                <w:spacing w:val="-4"/>
                <w:sz w:val="24"/>
                <w:szCs w:val="24"/>
                <w:highlight w:val="none"/>
                <w:u w:val="single"/>
                <w:shd w:val="clear" w:color="auto" w:fill="auto"/>
              </w:rPr>
              <w:t xml:space="preserve"> </w:t>
            </w:r>
            <w:r>
              <w:rPr>
                <w:rFonts w:hint="eastAsia" w:ascii="宋体" w:hAnsi="宋体" w:eastAsia="宋体" w:cs="宋体"/>
                <w:color w:val="auto"/>
                <w:spacing w:val="-4"/>
                <w:sz w:val="24"/>
                <w:szCs w:val="24"/>
                <w:highlight w:val="none"/>
                <w:u w:val="single"/>
                <w:shd w:val="clear" w:color="auto" w:fill="auto"/>
                <w:lang w:val="en-US" w:eastAsia="zh-CN"/>
              </w:rPr>
              <w:t>4</w:t>
            </w:r>
            <w:r>
              <w:rPr>
                <w:rFonts w:hint="eastAsia" w:ascii="宋体" w:hAnsi="宋体" w:eastAsia="宋体" w:cs="宋体"/>
                <w:color w:val="auto"/>
                <w:spacing w:val="-4"/>
                <w:sz w:val="24"/>
                <w:szCs w:val="24"/>
                <w:highlight w:val="none"/>
                <w:u w:val="single"/>
                <w:shd w:val="clear" w:color="auto" w:fill="auto"/>
              </w:rPr>
              <w:t>人</w:t>
            </w:r>
            <w:r>
              <w:rPr>
                <w:rFonts w:hint="eastAsia" w:ascii="宋体" w:hAnsi="宋体" w:eastAsia="宋体" w:cs="宋体"/>
                <w:color w:val="auto"/>
                <w:spacing w:val="-4"/>
                <w:sz w:val="24"/>
                <w:szCs w:val="24"/>
                <w:highlight w:val="none"/>
                <w:shd w:val="clear" w:color="auto" w:fill="auto"/>
              </w:rPr>
              <w:t xml:space="preserve">。 </w:t>
            </w:r>
          </w:p>
          <w:p w14:paraId="4D41B635">
            <w:pPr>
              <w:rPr>
                <w:rFonts w:hint="eastAsia" w:ascii="宋体" w:hAnsi="宋体" w:eastAsia="宋体" w:cs="宋体"/>
                <w:color w:val="auto"/>
                <w:spacing w:val="-4"/>
                <w:sz w:val="24"/>
                <w:szCs w:val="24"/>
                <w:highlight w:val="none"/>
                <w:shd w:val="clear" w:color="auto" w:fill="auto"/>
              </w:rPr>
            </w:pPr>
            <w:r>
              <w:rPr>
                <w:rFonts w:hint="eastAsia" w:ascii="宋体" w:hAnsi="宋体" w:eastAsia="宋体" w:cs="宋体"/>
                <w:color w:val="auto"/>
                <w:spacing w:val="-4"/>
                <w:sz w:val="24"/>
                <w:szCs w:val="24"/>
                <w:highlight w:val="none"/>
                <w:shd w:val="clear" w:color="auto" w:fill="auto"/>
              </w:rPr>
              <w:t>评标专家确定方式：开标前在政府采购评审专家库中，通过随机方式抽取评审专家。</w:t>
            </w:r>
          </w:p>
        </w:tc>
      </w:tr>
      <w:tr w14:paraId="5620A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10" w:type="dxa"/>
            <w:noWrap w:val="0"/>
            <w:vAlign w:val="center"/>
          </w:tcPr>
          <w:p w14:paraId="134D2543">
            <w:pPr>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2</w:t>
            </w:r>
            <w:r>
              <w:rPr>
                <w:rFonts w:hint="eastAsia" w:ascii="宋体" w:hAnsi="宋体" w:eastAsia="宋体" w:cs="宋体"/>
                <w:color w:val="auto"/>
                <w:sz w:val="24"/>
                <w:szCs w:val="24"/>
                <w:highlight w:val="none"/>
                <w:shd w:val="clear" w:color="auto" w:fill="auto"/>
                <w:lang w:val="en-US" w:eastAsia="zh-CN"/>
              </w:rPr>
              <w:t>2</w:t>
            </w:r>
          </w:p>
        </w:tc>
        <w:tc>
          <w:tcPr>
            <w:tcW w:w="2294" w:type="dxa"/>
            <w:noWrap w:val="0"/>
            <w:vAlign w:val="center"/>
          </w:tcPr>
          <w:p w14:paraId="4FD270E9">
            <w:pPr>
              <w:pStyle w:val="21"/>
              <w:widowControl w:val="0"/>
              <w:spacing w:line="276" w:lineRule="auto"/>
              <w:ind w:firstLine="0" w:firstLineChars="0"/>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000000"/>
                <w:sz w:val="24"/>
                <w:szCs w:val="24"/>
                <w:highlight w:val="none"/>
              </w:rPr>
              <w:t>是否授权评标委员会确定中标人</w:t>
            </w:r>
          </w:p>
        </w:tc>
        <w:tc>
          <w:tcPr>
            <w:tcW w:w="6715" w:type="dxa"/>
            <w:noWrap w:val="0"/>
            <w:vAlign w:val="center"/>
          </w:tcPr>
          <w:p w14:paraId="058C3A19">
            <w:pPr>
              <w:pStyle w:val="21"/>
              <w:widowControl w:val="0"/>
              <w:spacing w:line="276" w:lineRule="auto"/>
              <w:ind w:firstLine="0" w:firstLineChars="0"/>
              <w:rPr>
                <w:rFonts w:hint="eastAsia" w:ascii="宋体" w:hAnsi="宋体" w:eastAsia="宋体" w:cs="宋体"/>
                <w:color w:val="auto"/>
                <w:spacing w:val="-4"/>
                <w:sz w:val="24"/>
                <w:szCs w:val="24"/>
                <w:highlight w:val="none"/>
                <w:shd w:val="clear" w:color="auto" w:fill="auto"/>
              </w:rPr>
            </w:pPr>
            <w:r>
              <w:rPr>
                <w:rFonts w:hint="eastAsia" w:ascii="宋体" w:hAnsi="宋体" w:eastAsia="宋体" w:cs="宋体"/>
                <w:color w:val="000000"/>
                <w:sz w:val="24"/>
                <w:szCs w:val="24"/>
                <w:highlight w:val="none"/>
              </w:rPr>
              <w:t>否，推荐的中标候选人数：3名。</w:t>
            </w:r>
          </w:p>
        </w:tc>
      </w:tr>
      <w:tr w14:paraId="26026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0" w:type="dxa"/>
            <w:noWrap w:val="0"/>
            <w:vAlign w:val="center"/>
          </w:tcPr>
          <w:p w14:paraId="6D81B3FF">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2</w:t>
            </w:r>
            <w:r>
              <w:rPr>
                <w:rFonts w:hint="eastAsia" w:ascii="宋体" w:hAnsi="宋体" w:eastAsia="宋体" w:cs="宋体"/>
                <w:color w:val="auto"/>
                <w:sz w:val="24"/>
                <w:szCs w:val="24"/>
                <w:highlight w:val="none"/>
                <w:shd w:val="clear" w:color="auto" w:fill="auto"/>
                <w:lang w:val="en-US" w:eastAsia="zh-CN"/>
              </w:rPr>
              <w:t>3</w:t>
            </w:r>
          </w:p>
        </w:tc>
        <w:tc>
          <w:tcPr>
            <w:tcW w:w="2294" w:type="dxa"/>
            <w:noWrap w:val="0"/>
            <w:vAlign w:val="center"/>
          </w:tcPr>
          <w:p w14:paraId="069B42BA">
            <w:pPr>
              <w:pStyle w:val="20"/>
              <w:spacing w:line="240" w:lineRule="auto"/>
              <w:jc w:val="both"/>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投标保证金</w:t>
            </w:r>
          </w:p>
        </w:tc>
        <w:tc>
          <w:tcPr>
            <w:tcW w:w="6715" w:type="dxa"/>
            <w:noWrap w:val="0"/>
            <w:vAlign w:val="center"/>
          </w:tcPr>
          <w:p w14:paraId="359511D7">
            <w:pPr>
              <w:pStyle w:val="20"/>
              <w:spacing w:line="240" w:lineRule="auto"/>
              <w:jc w:val="both"/>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val="en-US" w:eastAsia="zh-CN"/>
              </w:rPr>
              <w:t>、投标保证金：无。</w:t>
            </w:r>
          </w:p>
          <w:p w14:paraId="3E4AAF8F">
            <w:pPr>
              <w:widowControl w:val="0"/>
              <w:spacing w:line="480" w:lineRule="exact"/>
              <w:jc w:val="both"/>
              <w:rPr>
                <w:rFonts w:hint="eastAsia" w:ascii="宋体" w:hAnsi="宋体" w:eastAsia="宋体" w:cs="宋体"/>
                <w:color w:val="auto"/>
                <w:sz w:val="24"/>
                <w:szCs w:val="24"/>
                <w:highlight w:val="none"/>
                <w:shd w:val="clear" w:color="auto" w:fill="auto"/>
                <w:lang w:val="en-US"/>
              </w:rPr>
            </w:pPr>
            <w:r>
              <w:rPr>
                <w:rFonts w:hint="eastAsia" w:ascii="宋体" w:hAnsi="宋体" w:eastAsia="宋体" w:cs="宋体"/>
                <w:color w:val="auto"/>
                <w:sz w:val="24"/>
                <w:szCs w:val="24"/>
                <w:highlight w:val="none"/>
                <w:shd w:val="clear" w:color="auto" w:fill="auto"/>
                <w:lang w:val="en-US" w:eastAsia="zh-CN"/>
              </w:rPr>
              <w:t>2、根据陕西省财政厅关于政府采购支持中小企业发展有关事项的通知《陕财办采[2020]13号》及咸阳市财政局 《关于促进政府采购公平竞争优化营商环境的通知》咸财采购〔2021〕9 号、咸阳市财政局关于政府采购领域贯彻落实《咸阳市落实优化营商环境三年行动计划（2021-2023年）》的通知，免交投标保证金。</w:t>
            </w:r>
          </w:p>
        </w:tc>
      </w:tr>
      <w:tr w14:paraId="6088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10" w:type="dxa"/>
            <w:noWrap w:val="0"/>
            <w:vAlign w:val="center"/>
          </w:tcPr>
          <w:p w14:paraId="4986F13E">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rPr>
              <w:t>24</w:t>
            </w:r>
          </w:p>
        </w:tc>
        <w:tc>
          <w:tcPr>
            <w:tcW w:w="2294" w:type="dxa"/>
            <w:noWrap w:val="0"/>
            <w:vAlign w:val="center"/>
          </w:tcPr>
          <w:p w14:paraId="6B0B9CCD">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备选投标方案和报价</w:t>
            </w:r>
          </w:p>
        </w:tc>
        <w:tc>
          <w:tcPr>
            <w:tcW w:w="6715" w:type="dxa"/>
            <w:noWrap w:val="0"/>
            <w:vAlign w:val="center"/>
          </w:tcPr>
          <w:p w14:paraId="72FFAE58">
            <w:pPr>
              <w:tabs>
                <w:tab w:val="left" w:pos="7013"/>
              </w:tabs>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不接受备选投标方案和多个报价。</w:t>
            </w:r>
          </w:p>
        </w:tc>
      </w:tr>
      <w:tr w14:paraId="6F093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10" w:type="dxa"/>
            <w:noWrap w:val="0"/>
            <w:vAlign w:val="center"/>
          </w:tcPr>
          <w:p w14:paraId="09B670A4">
            <w:pPr>
              <w:jc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2</w:t>
            </w:r>
            <w:r>
              <w:rPr>
                <w:rFonts w:hint="eastAsia" w:ascii="宋体" w:hAnsi="宋体" w:eastAsia="宋体" w:cs="宋体"/>
                <w:color w:val="auto"/>
                <w:sz w:val="24"/>
                <w:szCs w:val="24"/>
                <w:highlight w:val="none"/>
                <w:shd w:val="clear" w:color="auto" w:fill="auto"/>
                <w:lang w:val="en-US" w:eastAsia="zh-CN"/>
              </w:rPr>
              <w:t>5</w:t>
            </w:r>
          </w:p>
        </w:tc>
        <w:tc>
          <w:tcPr>
            <w:tcW w:w="2294" w:type="dxa"/>
            <w:noWrap w:val="0"/>
            <w:vAlign w:val="center"/>
          </w:tcPr>
          <w:p w14:paraId="404888C2">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盖章签字</w:t>
            </w:r>
          </w:p>
        </w:tc>
        <w:tc>
          <w:tcPr>
            <w:tcW w:w="6715" w:type="dxa"/>
            <w:noWrap w:val="0"/>
            <w:vAlign w:val="center"/>
          </w:tcPr>
          <w:p w14:paraId="18AEEB6C">
            <w:pPr>
              <w:tabs>
                <w:tab w:val="left" w:pos="7013"/>
              </w:tabs>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必须按照招标文件的规定和要求签字或盖章。</w:t>
            </w:r>
          </w:p>
        </w:tc>
      </w:tr>
      <w:tr w14:paraId="1BDE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10" w:type="dxa"/>
            <w:noWrap w:val="0"/>
            <w:vAlign w:val="center"/>
          </w:tcPr>
          <w:p w14:paraId="3333CCF6">
            <w:pPr>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26</w:t>
            </w:r>
          </w:p>
        </w:tc>
        <w:tc>
          <w:tcPr>
            <w:tcW w:w="2294" w:type="dxa"/>
            <w:noWrap w:val="0"/>
            <w:vAlign w:val="center"/>
          </w:tcPr>
          <w:p w14:paraId="7F88C926">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投标文件数量 装订</w:t>
            </w:r>
          </w:p>
        </w:tc>
        <w:tc>
          <w:tcPr>
            <w:tcW w:w="6715" w:type="dxa"/>
            <w:noWrap w:val="0"/>
            <w:vAlign w:val="center"/>
          </w:tcPr>
          <w:p w14:paraId="1CA8A884">
            <w:pPr>
              <w:rPr>
                <w:rFonts w:hint="eastAsia" w:ascii="宋体" w:hAnsi="宋体" w:eastAsia="宋体" w:cs="宋体"/>
                <w:b/>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投标文件一律采用书籍（胶装）方式装订。投标文件共</w:t>
            </w:r>
            <w:r>
              <w:rPr>
                <w:rFonts w:hint="eastAsia" w:ascii="宋体" w:hAnsi="宋体" w:eastAsia="宋体" w:cs="宋体"/>
                <w:color w:val="auto"/>
                <w:sz w:val="24"/>
                <w:szCs w:val="24"/>
                <w:highlight w:val="none"/>
                <w:shd w:val="clear" w:color="auto" w:fill="auto"/>
                <w:lang w:val="en-US" w:eastAsia="zh-CN"/>
              </w:rPr>
              <w:t>六</w:t>
            </w:r>
            <w:r>
              <w:rPr>
                <w:rFonts w:hint="eastAsia" w:ascii="宋体" w:hAnsi="宋体" w:eastAsia="宋体" w:cs="宋体"/>
                <w:color w:val="auto"/>
                <w:sz w:val="24"/>
                <w:szCs w:val="24"/>
                <w:highlight w:val="none"/>
                <w:shd w:val="clear" w:color="auto" w:fill="auto"/>
              </w:rPr>
              <w:t>份，其中正本一份，副本二份，电子文件</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rPr>
              <w:t>份</w:t>
            </w:r>
            <w:r>
              <w:rPr>
                <w:rFonts w:hint="eastAsia" w:ascii="宋体" w:hAnsi="宋体" w:eastAsia="宋体" w:cs="宋体"/>
                <w:b/>
                <w:bCs/>
                <w:color w:val="auto"/>
                <w:sz w:val="24"/>
                <w:szCs w:val="24"/>
                <w:highlight w:val="none"/>
                <w:shd w:val="clear" w:color="auto" w:fill="auto"/>
                <w:lang w:eastAsia="zh-CN"/>
              </w:rPr>
              <w:t>（</w:t>
            </w:r>
            <w:r>
              <w:rPr>
                <w:rFonts w:hint="eastAsia" w:ascii="宋体" w:hAnsi="宋体" w:eastAsia="宋体" w:cs="宋体"/>
                <w:b/>
                <w:bCs/>
                <w:color w:val="auto"/>
                <w:sz w:val="24"/>
                <w:szCs w:val="24"/>
                <w:highlight w:val="none"/>
                <w:shd w:val="clear" w:color="auto" w:fill="auto"/>
                <w:lang w:val="en-US" w:eastAsia="zh-CN"/>
              </w:rPr>
              <w:t>U盘需标注单位名称</w:t>
            </w:r>
            <w:r>
              <w:rPr>
                <w:rFonts w:hint="eastAsia" w:ascii="宋体" w:hAnsi="宋体" w:eastAsia="宋体" w:cs="宋体"/>
                <w:b/>
                <w:bCs/>
                <w:color w:val="auto"/>
                <w:sz w:val="24"/>
                <w:szCs w:val="24"/>
                <w:highlight w:val="none"/>
                <w:shd w:val="clear" w:color="auto" w:fill="auto"/>
                <w:lang w:eastAsia="zh-CN"/>
              </w:rPr>
              <w:t>、</w:t>
            </w:r>
            <w:r>
              <w:rPr>
                <w:rFonts w:hint="eastAsia" w:ascii="宋体" w:hAnsi="宋体" w:eastAsia="宋体" w:cs="宋体"/>
                <w:b/>
                <w:color w:val="auto"/>
                <w:sz w:val="24"/>
                <w:szCs w:val="24"/>
                <w:highlight w:val="none"/>
                <w:shd w:val="clear" w:color="auto" w:fill="auto"/>
                <w:lang w:val="zh-CN"/>
              </w:rPr>
              <w:t>与正本一致的</w:t>
            </w:r>
            <w:r>
              <w:rPr>
                <w:rFonts w:hint="eastAsia" w:ascii="宋体" w:hAnsi="宋体" w:eastAsia="宋体" w:cs="宋体"/>
                <w:b/>
                <w:color w:val="auto"/>
                <w:sz w:val="24"/>
                <w:szCs w:val="24"/>
                <w:highlight w:val="none"/>
                <w:shd w:val="clear" w:color="auto" w:fill="auto"/>
              </w:rPr>
              <w:t>PDF</w:t>
            </w:r>
            <w:r>
              <w:rPr>
                <w:rFonts w:hint="eastAsia" w:ascii="宋体" w:hAnsi="宋体" w:eastAsia="宋体" w:cs="宋体"/>
                <w:b/>
                <w:color w:val="auto"/>
                <w:sz w:val="24"/>
                <w:szCs w:val="24"/>
                <w:highlight w:val="none"/>
                <w:shd w:val="clear" w:color="auto" w:fill="auto"/>
                <w:lang w:val="zh-CN"/>
              </w:rPr>
              <w:t>版和</w:t>
            </w:r>
            <w:r>
              <w:rPr>
                <w:rFonts w:hint="eastAsia" w:ascii="宋体" w:hAnsi="宋体" w:eastAsia="宋体" w:cs="宋体"/>
                <w:b/>
                <w:color w:val="auto"/>
                <w:sz w:val="24"/>
                <w:szCs w:val="24"/>
                <w:highlight w:val="none"/>
                <w:shd w:val="clear" w:color="auto" w:fill="auto"/>
              </w:rPr>
              <w:t>Word版</w:t>
            </w:r>
            <w:r>
              <w:rPr>
                <w:rFonts w:hint="eastAsia" w:ascii="宋体" w:hAnsi="宋体" w:eastAsia="宋体" w:cs="宋体"/>
                <w:b/>
                <w:color w:val="auto"/>
                <w:sz w:val="24"/>
                <w:szCs w:val="24"/>
                <w:highlight w:val="none"/>
                <w:shd w:val="clear" w:color="auto" w:fill="auto"/>
                <w:lang w:val="zh-CN"/>
              </w:rPr>
              <w:t>投标文件、PDF版需为正本签署盖章扫描件</w:t>
            </w:r>
            <w:r>
              <w:rPr>
                <w:rFonts w:hint="eastAsia" w:ascii="宋体" w:hAnsi="宋体" w:eastAsia="宋体" w:cs="宋体"/>
                <w:b/>
                <w:color w:val="auto"/>
                <w:sz w:val="24"/>
                <w:szCs w:val="24"/>
                <w:highlight w:val="none"/>
                <w:shd w:val="clear" w:color="auto" w:fill="auto"/>
                <w:lang w:val="zh-CN" w:eastAsia="zh-CN"/>
              </w:rPr>
              <w:t>）</w:t>
            </w:r>
            <w:r>
              <w:rPr>
                <w:rFonts w:hint="eastAsia" w:ascii="宋体" w:hAnsi="宋体" w:eastAsia="宋体" w:cs="宋体"/>
                <w:color w:val="auto"/>
                <w:sz w:val="24"/>
                <w:szCs w:val="24"/>
                <w:highlight w:val="none"/>
                <w:shd w:val="clear" w:color="auto" w:fill="auto"/>
              </w:rPr>
              <w:t>，投标报价一览表一份。</w:t>
            </w:r>
            <w:r>
              <w:rPr>
                <w:rFonts w:hint="eastAsia" w:ascii="宋体" w:hAnsi="宋体" w:eastAsia="宋体" w:cs="宋体"/>
                <w:b/>
                <w:bCs/>
                <w:color w:val="auto"/>
                <w:sz w:val="24"/>
                <w:szCs w:val="24"/>
                <w:highlight w:val="none"/>
                <w:shd w:val="clear" w:color="auto" w:fill="auto"/>
              </w:rPr>
              <w:t>投标文件的正本和副本均须A4纸打印，并编制目录和页码。</w:t>
            </w:r>
            <w:r>
              <w:rPr>
                <w:rFonts w:hint="eastAsia" w:ascii="宋体" w:hAnsi="宋体" w:eastAsia="宋体" w:cs="宋体"/>
                <w:color w:val="auto"/>
                <w:sz w:val="24"/>
                <w:szCs w:val="24"/>
                <w:highlight w:val="none"/>
                <w:shd w:val="clear" w:color="auto" w:fill="auto"/>
              </w:rPr>
              <w:t>正、副本分别各自装订成册，单独密封，电子版放置“正本”密封袋内。投标报价一览表单独密封。</w:t>
            </w:r>
            <w:r>
              <w:rPr>
                <w:rFonts w:hint="eastAsia" w:ascii="宋体" w:hAnsi="宋体" w:eastAsia="宋体" w:cs="宋体"/>
                <w:b/>
                <w:color w:val="auto"/>
                <w:sz w:val="24"/>
                <w:szCs w:val="24"/>
                <w:highlight w:val="none"/>
                <w:shd w:val="clear" w:color="auto" w:fill="auto"/>
              </w:rPr>
              <w:t>对未按招标文件要求数量和方式装订递交的投标文件，将作为无效投标文件。</w:t>
            </w:r>
          </w:p>
        </w:tc>
      </w:tr>
      <w:tr w14:paraId="6303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810" w:type="dxa"/>
            <w:noWrap w:val="0"/>
            <w:vAlign w:val="center"/>
          </w:tcPr>
          <w:p w14:paraId="5048ED2E">
            <w:pPr>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27</w:t>
            </w:r>
          </w:p>
        </w:tc>
        <w:tc>
          <w:tcPr>
            <w:tcW w:w="2294" w:type="dxa"/>
            <w:noWrap w:val="0"/>
            <w:vAlign w:val="center"/>
          </w:tcPr>
          <w:p w14:paraId="1AF37A9D">
            <w:pPr>
              <w:spacing w:line="360" w:lineRule="auto"/>
              <w:jc w:val="both"/>
              <w:rPr>
                <w:rFonts w:hint="eastAsia" w:ascii="宋体" w:hAnsi="宋体" w:eastAsia="宋体" w:cs="宋体"/>
                <w:color w:val="auto"/>
                <w:kern w:val="0"/>
                <w:sz w:val="24"/>
                <w:szCs w:val="24"/>
                <w:highlight w:val="none"/>
                <w:shd w:val="clear" w:color="auto" w:fill="auto"/>
                <w:lang w:val="en-US" w:eastAsia="zh-CN" w:bidi="ar-SA"/>
              </w:rPr>
            </w:pPr>
            <w:r>
              <w:rPr>
                <w:rFonts w:hint="eastAsia" w:ascii="宋体" w:hAnsi="宋体" w:eastAsia="宋体" w:cs="宋体"/>
                <w:color w:val="auto"/>
                <w:kern w:val="0"/>
                <w:sz w:val="24"/>
                <w:szCs w:val="24"/>
                <w:highlight w:val="none"/>
                <w:shd w:val="clear" w:color="auto" w:fill="auto"/>
                <w:lang w:val="en-US" w:eastAsia="zh-CN" w:bidi="ar-SA"/>
              </w:rPr>
              <w:t>投标人开标现场须带资料</w:t>
            </w:r>
          </w:p>
        </w:tc>
        <w:tc>
          <w:tcPr>
            <w:tcW w:w="6715" w:type="dxa"/>
            <w:noWrap w:val="0"/>
            <w:vAlign w:val="center"/>
          </w:tcPr>
          <w:p w14:paraId="29A2DF19">
            <w:pPr>
              <w:spacing w:line="360" w:lineRule="auto"/>
              <w:jc w:val="both"/>
              <w:rPr>
                <w:rFonts w:hint="eastAsia" w:ascii="宋体" w:hAnsi="宋体" w:eastAsia="宋体" w:cs="宋体"/>
                <w:color w:val="auto"/>
                <w:kern w:val="0"/>
                <w:sz w:val="24"/>
                <w:szCs w:val="24"/>
                <w:highlight w:val="none"/>
                <w:shd w:val="clear" w:color="auto" w:fill="auto"/>
                <w:lang w:val="en-US" w:eastAsia="zh-CN" w:bidi="ar-SA"/>
              </w:rPr>
            </w:pPr>
            <w:r>
              <w:rPr>
                <w:rFonts w:hint="eastAsia" w:ascii="宋体" w:hAnsi="宋体" w:eastAsia="宋体" w:cs="宋体"/>
                <w:b/>
                <w:bCs/>
                <w:color w:val="auto"/>
                <w:kern w:val="0"/>
                <w:sz w:val="24"/>
                <w:szCs w:val="24"/>
                <w:highlight w:val="none"/>
                <w:shd w:val="clear" w:color="auto" w:fill="auto"/>
                <w:lang w:val="en-US" w:eastAsia="zh-CN" w:bidi="ar-SA"/>
              </w:rPr>
              <w:t>核验投标人有关原件：</w:t>
            </w:r>
            <w:r>
              <w:rPr>
                <w:rFonts w:hint="eastAsia" w:ascii="宋体" w:hAnsi="宋体" w:eastAsia="宋体" w:cs="宋体"/>
                <w:color w:val="auto"/>
                <w:kern w:val="0"/>
                <w:sz w:val="24"/>
                <w:szCs w:val="24"/>
                <w:highlight w:val="none"/>
                <w:shd w:val="clear" w:color="auto" w:fill="auto"/>
                <w:lang w:val="en-US" w:eastAsia="zh-CN" w:bidi="ar-SA"/>
              </w:rPr>
              <w:t>法定代表人授权委托书及被委托人身份证原件（附法定代表人及被委托人身份证复印件并加盖公章）；如法定代表人参加开标会议的需提供法定代表人身份证明书及身份证原件（附法定代表人身份证复印件并加盖公章）。以上原件未提供或不符合要求,按无效投标处理。</w:t>
            </w:r>
          </w:p>
        </w:tc>
      </w:tr>
      <w:tr w14:paraId="7E409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10" w:type="dxa"/>
            <w:noWrap w:val="0"/>
            <w:vAlign w:val="center"/>
          </w:tcPr>
          <w:p w14:paraId="0F2932B2">
            <w:pPr>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28</w:t>
            </w:r>
          </w:p>
        </w:tc>
        <w:tc>
          <w:tcPr>
            <w:tcW w:w="2294" w:type="dxa"/>
            <w:noWrap w:val="0"/>
            <w:vAlign w:val="center"/>
          </w:tcPr>
          <w:p w14:paraId="65CC4687">
            <w:pP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评标办法及标准</w:t>
            </w:r>
          </w:p>
        </w:tc>
        <w:tc>
          <w:tcPr>
            <w:tcW w:w="6715" w:type="dxa"/>
            <w:noWrap w:val="0"/>
            <w:vAlign w:val="center"/>
          </w:tcPr>
          <w:p w14:paraId="161468E5">
            <w:pPr>
              <w:pStyle w:val="20"/>
              <w:spacing w:line="240" w:lineRule="auto"/>
              <w:jc w:val="both"/>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详见招标文件。</w:t>
            </w:r>
          </w:p>
        </w:tc>
      </w:tr>
      <w:tr w14:paraId="7389A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819" w:type="dxa"/>
            <w:gridSpan w:val="3"/>
            <w:noWrap w:val="0"/>
            <w:vAlign w:val="center"/>
          </w:tcPr>
          <w:p w14:paraId="12493B00">
            <w:pPr>
              <w:pStyle w:val="21"/>
              <w:widowControl w:val="0"/>
              <w:spacing w:line="276" w:lineRule="auto"/>
              <w:ind w:firstLine="0" w:firstLineChars="0"/>
              <w:rPr>
                <w:rFonts w:hint="eastAsia" w:ascii="宋体" w:hAnsi="宋体" w:eastAsia="宋体" w:cs="宋体"/>
                <w:color w:val="auto"/>
                <w:sz w:val="24"/>
                <w:szCs w:val="24"/>
                <w:highlight w:val="none"/>
                <w:shd w:val="clear" w:color="auto" w:fill="auto"/>
              </w:rPr>
            </w:pPr>
            <w:bookmarkStart w:id="22" w:name="_Toc22202"/>
            <w:bookmarkStart w:id="23" w:name="_Toc20036"/>
            <w:bookmarkStart w:id="24" w:name="_Toc459049892"/>
            <w:bookmarkStart w:id="25" w:name="_Toc459049723"/>
            <w:r>
              <w:rPr>
                <w:rFonts w:hint="eastAsia" w:ascii="宋体" w:hAnsi="宋体" w:eastAsia="宋体" w:cs="宋体"/>
                <w:b/>
                <w:color w:val="000000"/>
                <w:sz w:val="24"/>
                <w:szCs w:val="24"/>
                <w:highlight w:val="none"/>
              </w:rPr>
              <w:t>需要补充的其他内容</w:t>
            </w:r>
          </w:p>
        </w:tc>
      </w:tr>
      <w:tr w14:paraId="0517F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9819" w:type="dxa"/>
            <w:gridSpan w:val="3"/>
            <w:noWrap w:val="0"/>
            <w:vAlign w:val="center"/>
          </w:tcPr>
          <w:p w14:paraId="1EBB56C1">
            <w:pPr>
              <w:pStyle w:val="21"/>
              <w:widowControl w:val="0"/>
              <w:spacing w:line="276" w:lineRule="auto"/>
              <w:ind w:left="0" w:leftChars="0" w:firstLine="0" w:firstLineChars="0"/>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000000"/>
                <w:sz w:val="24"/>
                <w:szCs w:val="24"/>
                <w:highlight w:val="none"/>
              </w:rPr>
              <w:t>招标代理服务费：</w:t>
            </w:r>
            <w:r>
              <w:rPr>
                <w:rFonts w:hint="eastAsia" w:ascii="宋体" w:hAnsi="宋体" w:eastAsia="宋体" w:cs="宋体"/>
                <w:b w:val="0"/>
                <w:bCs/>
                <w:color w:val="000000"/>
                <w:sz w:val="24"/>
                <w:szCs w:val="24"/>
                <w:highlight w:val="none"/>
                <w:lang w:val="en-US" w:eastAsia="zh-CN"/>
              </w:rPr>
              <w:t>以中标金额为基数，参照国家计委颁布的《招标代理服务收费管理暂行办法》（计价格【2002】1980号）、发改办价格【2003】857号及发改价格【2011】534号</w:t>
            </w:r>
            <w:r>
              <w:rPr>
                <w:rFonts w:hint="eastAsia" w:ascii="宋体" w:hAnsi="宋体" w:eastAsia="宋体" w:cs="宋体"/>
                <w:color w:val="auto"/>
                <w:sz w:val="24"/>
                <w:szCs w:val="24"/>
                <w:highlight w:val="none"/>
                <w:lang w:val="en-US" w:eastAsia="zh-CN"/>
              </w:rPr>
              <w:t>等文件规定的收费标准</w:t>
            </w:r>
            <w:r>
              <w:rPr>
                <w:rFonts w:hint="eastAsia" w:ascii="宋体" w:hAnsi="宋体" w:eastAsia="宋体" w:cs="宋体"/>
                <w:color w:val="000000"/>
                <w:sz w:val="24"/>
                <w:szCs w:val="24"/>
                <w:highlight w:val="none"/>
              </w:rPr>
              <w:t>计取该项目的招标代理服务费，由中标人在领取中标通知书</w:t>
            </w:r>
            <w:r>
              <w:rPr>
                <w:rFonts w:hint="eastAsia" w:ascii="宋体" w:hAnsi="宋体" w:eastAsia="宋体" w:cs="宋体"/>
                <w:color w:val="000000"/>
                <w:sz w:val="24"/>
                <w:szCs w:val="24"/>
                <w:highlight w:val="none"/>
                <w:lang w:val="en-US" w:eastAsia="zh-CN"/>
              </w:rPr>
              <w:t>前</w:t>
            </w:r>
            <w:r>
              <w:rPr>
                <w:rFonts w:hint="eastAsia" w:ascii="宋体" w:hAnsi="宋体" w:eastAsia="宋体" w:cs="宋体"/>
                <w:color w:val="000000"/>
                <w:sz w:val="24"/>
                <w:szCs w:val="24"/>
                <w:highlight w:val="none"/>
              </w:rPr>
              <w:t>向采购代理机构一次性支付。</w:t>
            </w:r>
          </w:p>
        </w:tc>
      </w:tr>
    </w:tbl>
    <w:p w14:paraId="2CE78B6B">
      <w:pPr>
        <w:rPr>
          <w:rFonts w:hint="eastAsia" w:ascii="宋体" w:hAnsi="宋体" w:eastAsia="宋体" w:cs="宋体"/>
          <w:color w:val="auto"/>
          <w:szCs w:val="24"/>
          <w:highlight w:val="none"/>
          <w:shd w:val="clear" w:color="auto" w:fill="auto"/>
        </w:rPr>
      </w:pPr>
    </w:p>
    <w:p w14:paraId="274181A0">
      <w:pPr>
        <w:pStyle w:val="4"/>
        <w:spacing w:before="0" w:after="0" w:line="240" w:lineRule="auto"/>
        <w:rPr>
          <w:rFonts w:hint="eastAsia" w:ascii="宋体" w:hAnsi="宋体" w:eastAsia="宋体" w:cs="宋体"/>
          <w:color w:val="auto"/>
          <w:sz w:val="24"/>
          <w:szCs w:val="24"/>
          <w:highlight w:val="none"/>
          <w:shd w:val="clear" w:color="auto" w:fill="auto"/>
        </w:rPr>
      </w:pPr>
      <w:bookmarkStart w:id="26" w:name="_Toc22234"/>
      <w:bookmarkStart w:id="27" w:name="_Toc23446"/>
      <w:r>
        <w:rPr>
          <w:rFonts w:hint="eastAsia" w:ascii="宋体" w:hAnsi="宋体" w:eastAsia="宋体" w:cs="宋体"/>
          <w:color w:val="auto"/>
          <w:sz w:val="24"/>
          <w:szCs w:val="24"/>
          <w:highlight w:val="none"/>
          <w:shd w:val="clear" w:color="auto" w:fill="auto"/>
        </w:rPr>
        <w:t>二、名词解释</w:t>
      </w:r>
      <w:bookmarkEnd w:id="22"/>
      <w:bookmarkEnd w:id="23"/>
      <w:bookmarkEnd w:id="24"/>
      <w:bookmarkEnd w:id="25"/>
      <w:bookmarkEnd w:id="26"/>
      <w:bookmarkEnd w:id="27"/>
    </w:p>
    <w:p w14:paraId="345F8459">
      <w:pPr>
        <w:spacing w:line="500" w:lineRule="exact"/>
        <w:ind w:firstLine="470" w:firstLineChars="196"/>
        <w:rPr>
          <w:rFonts w:hint="eastAsia" w:ascii="宋体" w:hAnsi="宋体" w:eastAsia="宋体" w:cs="宋体"/>
          <w:bCs/>
          <w:color w:val="auto"/>
          <w:sz w:val="24"/>
          <w:szCs w:val="24"/>
          <w:highlight w:val="none"/>
          <w:shd w:val="clear" w:color="auto" w:fill="auto"/>
        </w:rPr>
      </w:pPr>
      <w:r>
        <w:rPr>
          <w:rFonts w:hint="eastAsia" w:ascii="宋体" w:hAnsi="宋体" w:eastAsia="宋体" w:cs="宋体"/>
          <w:bCs/>
          <w:color w:val="auto"/>
          <w:sz w:val="24"/>
          <w:szCs w:val="24"/>
          <w:highlight w:val="none"/>
          <w:shd w:val="clear" w:color="auto" w:fill="auto"/>
        </w:rPr>
        <w:t>1、采购人:</w:t>
      </w:r>
      <w:r>
        <w:rPr>
          <w:rFonts w:hint="eastAsia" w:ascii="宋体" w:hAnsi="宋体" w:eastAsia="宋体" w:cs="宋体"/>
          <w:bCs/>
          <w:color w:val="auto"/>
          <w:sz w:val="24"/>
          <w:szCs w:val="24"/>
          <w:highlight w:val="none"/>
          <w:shd w:val="clear" w:color="auto" w:fill="auto"/>
          <w:lang w:eastAsia="zh-CN"/>
        </w:rPr>
        <w:t>咸阳市秦都区人民法院</w:t>
      </w:r>
    </w:p>
    <w:p w14:paraId="5CF7D079">
      <w:pPr>
        <w:spacing w:line="500" w:lineRule="exact"/>
        <w:ind w:firstLine="470" w:firstLineChars="196"/>
        <w:rPr>
          <w:rFonts w:hint="eastAsia" w:ascii="宋体" w:hAnsi="宋体" w:eastAsia="宋体" w:cs="宋体"/>
          <w:color w:val="auto"/>
          <w:sz w:val="24"/>
          <w:szCs w:val="24"/>
          <w:highlight w:val="none"/>
          <w:shd w:val="clear" w:color="auto" w:fill="auto"/>
        </w:rPr>
      </w:pPr>
      <w:r>
        <w:rPr>
          <w:rFonts w:hint="eastAsia" w:ascii="宋体" w:hAnsi="宋体" w:eastAsia="宋体" w:cs="宋体"/>
          <w:bCs/>
          <w:color w:val="auto"/>
          <w:sz w:val="24"/>
          <w:szCs w:val="24"/>
          <w:highlight w:val="none"/>
          <w:shd w:val="clear" w:color="auto" w:fill="auto"/>
        </w:rPr>
        <w:t>2、采购代理机构：</w:t>
      </w:r>
      <w:r>
        <w:rPr>
          <w:rFonts w:hint="eastAsia" w:ascii="宋体" w:hAnsi="宋体" w:eastAsia="宋体" w:cs="宋体"/>
          <w:bCs/>
          <w:color w:val="auto"/>
          <w:sz w:val="24"/>
          <w:szCs w:val="24"/>
          <w:highlight w:val="none"/>
          <w:shd w:val="clear" w:color="auto" w:fill="auto"/>
          <w:lang w:val="en-US" w:eastAsia="zh-CN"/>
        </w:rPr>
        <w:t>华智建造价咨询有限公司</w:t>
      </w:r>
    </w:p>
    <w:p w14:paraId="18EB1A26">
      <w:pPr>
        <w:spacing w:line="500" w:lineRule="exact"/>
        <w:ind w:firstLine="470" w:firstLineChars="196"/>
        <w:rPr>
          <w:rFonts w:hint="eastAsia" w:ascii="宋体" w:hAnsi="宋体" w:eastAsia="宋体" w:cs="宋体"/>
          <w:bCs/>
          <w:color w:val="auto"/>
          <w:sz w:val="24"/>
          <w:szCs w:val="24"/>
          <w:highlight w:val="none"/>
          <w:shd w:val="clear" w:color="auto" w:fill="auto"/>
        </w:rPr>
      </w:pPr>
      <w:r>
        <w:rPr>
          <w:rFonts w:hint="eastAsia" w:ascii="宋体" w:hAnsi="宋体" w:eastAsia="宋体" w:cs="宋体"/>
          <w:bCs/>
          <w:color w:val="auto"/>
          <w:sz w:val="24"/>
          <w:szCs w:val="24"/>
          <w:highlight w:val="none"/>
          <w:shd w:val="clear" w:color="auto" w:fill="auto"/>
        </w:rPr>
        <w:t>3、</w:t>
      </w:r>
      <w:r>
        <w:rPr>
          <w:rFonts w:hint="eastAsia" w:ascii="宋体" w:hAnsi="宋体" w:eastAsia="宋体" w:cs="宋体"/>
          <w:bCs/>
          <w:color w:val="auto"/>
          <w:sz w:val="24"/>
          <w:szCs w:val="24"/>
          <w:highlight w:val="none"/>
          <w:shd w:val="clear" w:color="auto" w:fill="auto"/>
          <w:lang w:eastAsia="zh-CN"/>
        </w:rPr>
        <w:t>供应商</w:t>
      </w:r>
      <w:r>
        <w:rPr>
          <w:rFonts w:hint="eastAsia" w:ascii="宋体" w:hAnsi="宋体" w:eastAsia="宋体" w:cs="宋体"/>
          <w:bCs/>
          <w:color w:val="auto"/>
          <w:sz w:val="24"/>
          <w:szCs w:val="24"/>
          <w:highlight w:val="none"/>
          <w:shd w:val="clear" w:color="auto" w:fill="auto"/>
        </w:rPr>
        <w:t>：响应</w:t>
      </w:r>
      <w:r>
        <w:rPr>
          <w:rFonts w:hint="eastAsia" w:ascii="宋体" w:hAnsi="宋体" w:eastAsia="宋体" w:cs="宋体"/>
          <w:bCs/>
          <w:color w:val="auto"/>
          <w:sz w:val="24"/>
          <w:szCs w:val="24"/>
          <w:highlight w:val="none"/>
          <w:shd w:val="clear" w:color="auto" w:fill="auto"/>
        </w:rPr>
        <w:fldChar w:fldCharType="begin"/>
      </w:r>
      <w:r>
        <w:rPr>
          <w:rFonts w:hint="eastAsia" w:ascii="宋体" w:hAnsi="宋体" w:eastAsia="宋体" w:cs="宋体"/>
          <w:bCs/>
          <w:color w:val="auto"/>
          <w:sz w:val="24"/>
          <w:szCs w:val="24"/>
          <w:highlight w:val="none"/>
          <w:shd w:val="clear" w:color="auto" w:fill="auto"/>
        </w:rPr>
        <w:instrText xml:space="preserve"> HYPERLINK "http://baike.baidu.com/view/8707.htm" \t "_blank" </w:instrText>
      </w:r>
      <w:r>
        <w:rPr>
          <w:rFonts w:hint="eastAsia" w:ascii="宋体" w:hAnsi="宋体" w:eastAsia="宋体" w:cs="宋体"/>
          <w:bCs/>
          <w:color w:val="auto"/>
          <w:sz w:val="24"/>
          <w:szCs w:val="24"/>
          <w:highlight w:val="none"/>
          <w:shd w:val="clear" w:color="auto" w:fill="auto"/>
        </w:rPr>
        <w:fldChar w:fldCharType="separate"/>
      </w:r>
      <w:r>
        <w:rPr>
          <w:rFonts w:hint="eastAsia" w:ascii="宋体" w:hAnsi="宋体" w:eastAsia="宋体" w:cs="宋体"/>
          <w:bCs/>
          <w:color w:val="auto"/>
          <w:sz w:val="24"/>
          <w:szCs w:val="24"/>
          <w:highlight w:val="none"/>
          <w:shd w:val="clear" w:color="auto" w:fill="auto"/>
        </w:rPr>
        <w:t>招标</w:t>
      </w:r>
      <w:r>
        <w:rPr>
          <w:rFonts w:hint="eastAsia" w:ascii="宋体" w:hAnsi="宋体" w:eastAsia="宋体" w:cs="宋体"/>
          <w:bCs/>
          <w:color w:val="auto"/>
          <w:sz w:val="24"/>
          <w:szCs w:val="24"/>
          <w:highlight w:val="none"/>
          <w:shd w:val="clear" w:color="auto" w:fill="auto"/>
        </w:rPr>
        <w:fldChar w:fldCharType="end"/>
      </w:r>
      <w:r>
        <w:rPr>
          <w:rFonts w:hint="eastAsia" w:ascii="宋体" w:hAnsi="宋体" w:eastAsia="宋体" w:cs="宋体"/>
          <w:bCs/>
          <w:color w:val="auto"/>
          <w:sz w:val="24"/>
          <w:szCs w:val="24"/>
          <w:highlight w:val="none"/>
          <w:shd w:val="clear" w:color="auto" w:fill="auto"/>
        </w:rPr>
        <w:t>并且符合招标文件规定资格条件和参加投标竞争的</w:t>
      </w:r>
      <w:r>
        <w:rPr>
          <w:rFonts w:hint="eastAsia" w:ascii="宋体" w:hAnsi="宋体" w:eastAsia="宋体" w:cs="宋体"/>
          <w:color w:val="auto"/>
          <w:kern w:val="0"/>
          <w:sz w:val="24"/>
          <w:szCs w:val="24"/>
          <w:highlight w:val="none"/>
          <w:shd w:val="clear" w:color="auto" w:fill="auto"/>
        </w:rPr>
        <w:t>法人、其他组织或自然人</w:t>
      </w:r>
      <w:r>
        <w:rPr>
          <w:rFonts w:hint="eastAsia" w:ascii="宋体" w:hAnsi="宋体" w:eastAsia="宋体" w:cs="宋体"/>
          <w:bCs/>
          <w:color w:val="auto"/>
          <w:sz w:val="24"/>
          <w:szCs w:val="24"/>
          <w:highlight w:val="none"/>
          <w:shd w:val="clear" w:color="auto" w:fill="auto"/>
        </w:rPr>
        <w:t>。</w:t>
      </w:r>
    </w:p>
    <w:p w14:paraId="44E1A155">
      <w:pPr>
        <w:pStyle w:val="4"/>
        <w:spacing w:before="0" w:after="0" w:line="700" w:lineRule="exact"/>
        <w:rPr>
          <w:rFonts w:hint="eastAsia" w:ascii="宋体" w:hAnsi="宋体" w:eastAsia="宋体" w:cs="宋体"/>
          <w:color w:val="auto"/>
          <w:sz w:val="24"/>
          <w:szCs w:val="24"/>
          <w:highlight w:val="none"/>
          <w:shd w:val="clear" w:color="auto" w:fill="auto"/>
        </w:rPr>
      </w:pPr>
      <w:bookmarkStart w:id="28" w:name="_Toc31017"/>
      <w:bookmarkStart w:id="29" w:name="_Toc22399"/>
      <w:bookmarkStart w:id="30" w:name="_Toc459049893"/>
      <w:bookmarkStart w:id="31" w:name="_Toc32348"/>
      <w:bookmarkStart w:id="32" w:name="_Toc459049724"/>
      <w:bookmarkStart w:id="33" w:name="_Toc23012"/>
      <w:r>
        <w:rPr>
          <w:rFonts w:hint="eastAsia" w:ascii="宋体" w:hAnsi="宋体" w:eastAsia="宋体" w:cs="宋体"/>
          <w:color w:val="auto"/>
          <w:sz w:val="24"/>
          <w:szCs w:val="24"/>
          <w:highlight w:val="none"/>
          <w:shd w:val="clear" w:color="auto" w:fill="auto"/>
        </w:rPr>
        <w:t>三、招标文件</w:t>
      </w:r>
      <w:bookmarkEnd w:id="28"/>
      <w:bookmarkEnd w:id="29"/>
      <w:bookmarkEnd w:id="30"/>
      <w:bookmarkEnd w:id="31"/>
      <w:bookmarkEnd w:id="32"/>
      <w:bookmarkEnd w:id="33"/>
    </w:p>
    <w:p w14:paraId="40A458C4">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1、招标文件的组成：包括目录中所列内容。 </w:t>
      </w:r>
    </w:p>
    <w:p w14:paraId="03FB2079">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应认真审阅和充分理解招标文件所有的事项、格式、条款和规范要求等，在投标文件中对招标文件的各方面都做出实质性的响应，按照招标文件的要求提交全部资料。若</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 xml:space="preserve">的投标文件未按招标文件要求提交全部资料，或没有对招标文件做出实质性响应，将作无效投标处理。                                                                                                                                                                                                                                                          </w:t>
      </w:r>
    </w:p>
    <w:p w14:paraId="3920FAF0">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3、招标文件的澄清或修改：</w:t>
      </w:r>
    </w:p>
    <w:p w14:paraId="37CFB338">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3.1提交投标文件截止时间前，采购人、采购代理机构可以以书面形式对招标文件进行必要的澄清或修改，并在原信息发布媒体上发布变更公告。澄清或修改的内容均为招标文件的组成部分，并对采购人及</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起约束作用。澄清或修改的内容可能影响投标文件编制的，都将于提交投标文件截止时间15日前以书面形式发送给所有参加投标的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；不足15日的，采购人、采购代理机构顺延递交投标文件的截止时间。</w:t>
      </w:r>
    </w:p>
    <w:p w14:paraId="76A0F3AE">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3.2</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若对招标文件有任何疑问要求澄清，</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在投标截止时间10日前，以书面形式向采购代理机构提出，采购代理机构以书面形式在投标截止时间7日前予以答复。在此之后提出的无效，</w:t>
      </w:r>
      <w:bookmarkStart w:id="34" w:name="OLE_LINK6"/>
      <w:r>
        <w:rPr>
          <w:rFonts w:hint="eastAsia" w:ascii="宋体" w:hAnsi="宋体" w:eastAsia="宋体" w:cs="宋体"/>
          <w:color w:val="auto"/>
          <w:sz w:val="24"/>
          <w:szCs w:val="24"/>
          <w:highlight w:val="none"/>
          <w:shd w:val="clear" w:color="auto" w:fill="auto"/>
        </w:rPr>
        <w:t>因此带来的一切不利后果由</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自负。</w:t>
      </w:r>
      <w:bookmarkEnd w:id="34"/>
    </w:p>
    <w:p w14:paraId="231CC72A">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3.3招标文件的澄清或修改内容均以书面形式明确的内容为准。当招标文件的澄清、修改、补充等在同一内容的表述上不一致时，以最后发出的书面文件为准。所有补充文件将作为招标文件的组成部分，对所有</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具有约束力。</w:t>
      </w:r>
    </w:p>
    <w:p w14:paraId="5036D574">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3.4在投标截止时间前，根据招标工作进展实际情况，采购代理机构可酌情延长递交投标文件的截止时间，若延长将另行以书面形式通知各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并在原信息发布媒体上发布变更公告。采购代理机构和</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的权利和义务将受到新的截止期的约束。</w:t>
      </w:r>
    </w:p>
    <w:p w14:paraId="4B287864">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3.5</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必须从采购代理机构购买招标文件，</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自行转让或复制招标文件视为无效。招标文件售后不退，仅作为本次招标使用。</w:t>
      </w:r>
    </w:p>
    <w:p w14:paraId="01929099">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3.6招标文件的解释权归采购代理机构，如发现招标文件内容与现行法律法规不相符的情况，以现行法律法规为准。</w:t>
      </w:r>
    </w:p>
    <w:p w14:paraId="61EE8D7B">
      <w:pPr>
        <w:pStyle w:val="4"/>
        <w:spacing w:before="0" w:after="0" w:line="700" w:lineRule="exact"/>
        <w:rPr>
          <w:rFonts w:hint="eastAsia" w:ascii="宋体" w:hAnsi="宋体" w:eastAsia="宋体" w:cs="宋体"/>
          <w:color w:val="auto"/>
          <w:sz w:val="24"/>
          <w:szCs w:val="24"/>
          <w:highlight w:val="none"/>
          <w:shd w:val="clear" w:color="auto" w:fill="auto"/>
        </w:rPr>
      </w:pPr>
      <w:bookmarkStart w:id="35" w:name="_Toc1077"/>
      <w:bookmarkStart w:id="36" w:name="_Toc459049894"/>
      <w:bookmarkStart w:id="37" w:name="_Toc1617"/>
      <w:bookmarkStart w:id="38" w:name="_Toc20097"/>
      <w:bookmarkStart w:id="39" w:name="_Toc30922"/>
      <w:bookmarkStart w:id="40" w:name="_Toc459049725"/>
      <w:r>
        <w:rPr>
          <w:rFonts w:hint="eastAsia" w:ascii="宋体" w:hAnsi="宋体" w:eastAsia="宋体" w:cs="宋体"/>
          <w:color w:val="auto"/>
          <w:sz w:val="24"/>
          <w:szCs w:val="24"/>
          <w:highlight w:val="none"/>
          <w:shd w:val="clear" w:color="auto" w:fill="auto"/>
        </w:rPr>
        <w:t>四、投标文件</w:t>
      </w:r>
      <w:bookmarkEnd w:id="35"/>
      <w:bookmarkEnd w:id="36"/>
      <w:bookmarkEnd w:id="37"/>
      <w:bookmarkEnd w:id="38"/>
      <w:bookmarkEnd w:id="39"/>
      <w:bookmarkEnd w:id="40"/>
    </w:p>
    <w:p w14:paraId="6DBFB5D0">
      <w:pPr>
        <w:spacing w:line="500" w:lineRule="exact"/>
        <w:ind w:firstLine="470" w:firstLineChars="196"/>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资格要求</w:t>
      </w:r>
      <w:r>
        <w:rPr>
          <w:rFonts w:hint="eastAsia" w:ascii="宋体" w:hAnsi="宋体" w:eastAsia="宋体" w:cs="宋体"/>
          <w:color w:val="auto"/>
          <w:sz w:val="24"/>
          <w:szCs w:val="24"/>
          <w:highlight w:val="none"/>
          <w:shd w:val="clear" w:color="auto" w:fill="auto"/>
          <w:lang w:eastAsia="zh-CN"/>
        </w:rPr>
        <w:t>：详见供应商须知前附表“供应商资格要求”</w:t>
      </w:r>
    </w:p>
    <w:p w14:paraId="3EA542E6">
      <w:pPr>
        <w:spacing w:line="500" w:lineRule="exact"/>
        <w:ind w:firstLine="470" w:firstLineChars="196"/>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1.1合格供应商</w:t>
      </w:r>
    </w:p>
    <w:p w14:paraId="43FC20C7">
      <w:pPr>
        <w:spacing w:line="500" w:lineRule="exact"/>
        <w:ind w:firstLine="470" w:firstLineChars="196"/>
        <w:rPr>
          <w:rFonts w:hint="eastAsia" w:ascii="宋体" w:hAnsi="宋体" w:eastAsia="宋体" w:cs="宋体"/>
          <w:color w:val="auto"/>
          <w:sz w:val="24"/>
          <w:szCs w:val="24"/>
          <w:highlight w:val="none"/>
          <w:shd w:val="clear" w:color="auto" w:fill="auto"/>
        </w:rPr>
      </w:pPr>
      <w:r>
        <w:rPr>
          <w:rFonts w:hint="eastAsia" w:ascii="宋体" w:hAnsi="宋体" w:eastAsia="宋体" w:cs="宋体"/>
          <w:color w:val="000000"/>
          <w:sz w:val="24"/>
          <w:szCs w:val="24"/>
          <w:highlight w:val="none"/>
        </w:rPr>
        <w:t>依照《中华人民共和国公司法》合法注册的法人或其他组织、符合《中华人民共和国政府采购法》</w:t>
      </w:r>
      <w:bookmarkStart w:id="41" w:name="OLE_LINK8"/>
      <w:r>
        <w:rPr>
          <w:rFonts w:hint="eastAsia" w:ascii="宋体" w:hAnsi="宋体" w:eastAsia="宋体" w:cs="宋体"/>
          <w:color w:val="000000"/>
          <w:sz w:val="24"/>
          <w:szCs w:val="24"/>
          <w:highlight w:val="none"/>
        </w:rPr>
        <w:t>及其实施条例等有关法律法规的规定</w:t>
      </w:r>
      <w:bookmarkEnd w:id="41"/>
      <w:r>
        <w:rPr>
          <w:rFonts w:hint="eastAsia" w:ascii="宋体" w:hAnsi="宋体" w:eastAsia="宋体" w:cs="宋体"/>
          <w:color w:val="000000"/>
          <w:sz w:val="24"/>
          <w:szCs w:val="24"/>
          <w:highlight w:val="none"/>
        </w:rPr>
        <w:t>并满足本项目资格条件。不符合上述规定的供应商，投标无效。</w:t>
      </w:r>
    </w:p>
    <w:p w14:paraId="5FC2D729">
      <w:pPr>
        <w:spacing w:line="500" w:lineRule="exact"/>
        <w:ind w:firstLine="482" w:firstLineChars="200"/>
        <w:rPr>
          <w:rFonts w:hint="eastAsia" w:ascii="宋体" w:hAnsi="宋体" w:eastAsia="宋体" w:cs="宋体"/>
          <w:b/>
          <w:bCs w:val="0"/>
          <w:color w:val="auto"/>
          <w:sz w:val="24"/>
          <w:szCs w:val="24"/>
          <w:highlight w:val="none"/>
          <w:shd w:val="clear" w:color="auto" w:fill="auto"/>
        </w:rPr>
      </w:pPr>
      <w:r>
        <w:rPr>
          <w:rFonts w:hint="eastAsia" w:ascii="宋体" w:hAnsi="宋体" w:eastAsia="宋体" w:cs="宋体"/>
          <w:b/>
          <w:bCs w:val="0"/>
          <w:color w:val="auto"/>
          <w:sz w:val="24"/>
          <w:szCs w:val="24"/>
          <w:highlight w:val="none"/>
          <w:shd w:val="clear" w:color="auto" w:fill="auto"/>
        </w:rPr>
        <w:t>1.2</w:t>
      </w:r>
      <w:r>
        <w:rPr>
          <w:rFonts w:hint="eastAsia" w:ascii="宋体" w:hAnsi="宋体" w:eastAsia="宋体" w:cs="宋体"/>
          <w:b/>
          <w:bCs w:val="0"/>
          <w:color w:val="auto"/>
          <w:sz w:val="24"/>
          <w:szCs w:val="24"/>
          <w:highlight w:val="none"/>
          <w:shd w:val="clear" w:color="auto" w:fill="auto"/>
          <w:lang w:val="en-US" w:eastAsia="zh-CN"/>
        </w:rPr>
        <w:t>采购人或代理机构</w:t>
      </w:r>
      <w:r>
        <w:rPr>
          <w:rFonts w:hint="eastAsia" w:ascii="宋体" w:hAnsi="宋体" w:eastAsia="宋体" w:cs="宋体"/>
          <w:b/>
          <w:bCs w:val="0"/>
          <w:color w:val="auto"/>
          <w:sz w:val="24"/>
          <w:szCs w:val="24"/>
          <w:highlight w:val="none"/>
          <w:shd w:val="clear" w:color="auto" w:fill="auto"/>
          <w:lang w:eastAsia="zh-CN"/>
        </w:rPr>
        <w:t>对供应商身份及资格条件进行审核</w:t>
      </w:r>
      <w:r>
        <w:rPr>
          <w:rFonts w:hint="eastAsia" w:ascii="宋体" w:hAnsi="宋体" w:eastAsia="宋体" w:cs="宋体"/>
          <w:b/>
          <w:bCs w:val="0"/>
          <w:color w:val="auto"/>
          <w:sz w:val="24"/>
          <w:szCs w:val="24"/>
          <w:highlight w:val="none"/>
          <w:shd w:val="clear" w:color="auto" w:fill="auto"/>
        </w:rPr>
        <w:t>，经审查合格后方可进入评标阶段。</w:t>
      </w:r>
    </w:p>
    <w:p w14:paraId="4214AE6A">
      <w:pPr>
        <w:spacing w:line="520" w:lineRule="exact"/>
        <w:ind w:firstLine="480" w:firstLineChars="200"/>
        <w:rPr>
          <w:rFonts w:hint="eastAsia" w:ascii="宋体" w:hAnsi="宋体" w:eastAsia="宋体" w:cs="宋体"/>
          <w:color w:val="auto"/>
          <w:sz w:val="24"/>
          <w:szCs w:val="24"/>
          <w:highlight w:val="none"/>
          <w:shd w:val="clear" w:color="auto" w:fill="auto"/>
        </w:rPr>
      </w:pPr>
      <w:bookmarkStart w:id="42" w:name="_Toc459049726"/>
      <w:bookmarkStart w:id="43" w:name="_Toc11555"/>
      <w:bookmarkStart w:id="44" w:name="_Toc459049895"/>
      <w:bookmarkStart w:id="45" w:name="_Toc12781"/>
      <w:r>
        <w:rPr>
          <w:rFonts w:hint="eastAsia" w:ascii="宋体" w:hAnsi="宋体" w:eastAsia="宋体" w:cs="宋体"/>
          <w:color w:val="auto"/>
          <w:sz w:val="24"/>
          <w:szCs w:val="24"/>
          <w:highlight w:val="none"/>
          <w:shd w:val="clear" w:color="auto" w:fill="auto"/>
        </w:rPr>
        <w:t>2、投标文件的组成：</w:t>
      </w:r>
    </w:p>
    <w:p w14:paraId="71614BA3">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2.1各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应根据招标文件要求编制投标文件。</w:t>
      </w:r>
    </w:p>
    <w:p w14:paraId="2E3E9869">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2.3投标文件部分应包括：</w:t>
      </w:r>
    </w:p>
    <w:p w14:paraId="6D551A5D">
      <w:pPr>
        <w:spacing w:line="520" w:lineRule="exact"/>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2.3.1投标函</w:t>
      </w:r>
    </w:p>
    <w:p w14:paraId="416D5F55">
      <w:pPr>
        <w:spacing w:line="520" w:lineRule="exact"/>
        <w:ind w:firstLine="470" w:firstLineChars="196"/>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2.3.2开标一览表（报价表）</w:t>
      </w:r>
    </w:p>
    <w:p w14:paraId="6EE6BB5B">
      <w:pPr>
        <w:spacing w:line="520" w:lineRule="exact"/>
        <w:ind w:firstLine="710" w:firstLineChars="296"/>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2.3.</w:t>
      </w:r>
      <w:r>
        <w:rPr>
          <w:rFonts w:hint="eastAsia" w:ascii="宋体" w:hAnsi="宋体" w:eastAsia="宋体" w:cs="宋体"/>
          <w:color w:val="auto"/>
          <w:sz w:val="24"/>
          <w:szCs w:val="24"/>
          <w:highlight w:val="none"/>
          <w:shd w:val="clear" w:color="auto" w:fill="auto"/>
          <w:lang w:val="en-US" w:eastAsia="zh-CN"/>
        </w:rPr>
        <w:t>3</w:t>
      </w:r>
      <w:r>
        <w:rPr>
          <w:rFonts w:hint="eastAsia" w:ascii="宋体" w:hAnsi="宋体" w:eastAsia="宋体" w:cs="宋体"/>
          <w:color w:val="auto"/>
          <w:sz w:val="24"/>
          <w:szCs w:val="24"/>
          <w:highlight w:val="none"/>
          <w:shd w:val="clear" w:color="auto" w:fill="auto"/>
        </w:rPr>
        <w:t xml:space="preserve"> </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资格证明文件</w:t>
      </w:r>
    </w:p>
    <w:p w14:paraId="2F9D8BC5">
      <w:pPr>
        <w:spacing w:line="520" w:lineRule="exact"/>
        <w:ind w:firstLine="710" w:firstLineChars="296"/>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2.3.4供应商概况</w:t>
      </w:r>
    </w:p>
    <w:p w14:paraId="5EEEB400">
      <w:pPr>
        <w:spacing w:line="520" w:lineRule="exact"/>
        <w:ind w:firstLine="710" w:firstLineChars="296"/>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2.3.</w:t>
      </w:r>
      <w:r>
        <w:rPr>
          <w:rFonts w:hint="eastAsia" w:ascii="宋体" w:hAnsi="宋体" w:eastAsia="宋体" w:cs="宋体"/>
          <w:color w:val="auto"/>
          <w:sz w:val="24"/>
          <w:szCs w:val="24"/>
          <w:highlight w:val="none"/>
          <w:shd w:val="clear" w:color="auto" w:fill="auto"/>
          <w:lang w:val="en-US" w:eastAsia="zh-CN"/>
        </w:rPr>
        <w:t>5</w:t>
      </w:r>
      <w:r>
        <w:rPr>
          <w:rFonts w:hint="eastAsia" w:ascii="宋体" w:hAnsi="宋体" w:eastAsia="宋体" w:cs="宋体"/>
          <w:color w:val="auto"/>
          <w:sz w:val="24"/>
          <w:szCs w:val="24"/>
          <w:highlight w:val="none"/>
          <w:shd w:val="clear" w:color="auto" w:fill="auto"/>
          <w:lang w:eastAsia="zh-CN"/>
        </w:rPr>
        <w:t>投标</w:t>
      </w:r>
      <w:r>
        <w:rPr>
          <w:rFonts w:hint="eastAsia" w:ascii="宋体" w:hAnsi="宋体" w:eastAsia="宋体" w:cs="宋体"/>
          <w:color w:val="auto"/>
          <w:sz w:val="24"/>
          <w:szCs w:val="24"/>
          <w:highlight w:val="none"/>
          <w:shd w:val="clear" w:color="auto" w:fill="auto"/>
        </w:rPr>
        <w:t>方案说明</w:t>
      </w:r>
    </w:p>
    <w:p w14:paraId="09ECF3B1">
      <w:pPr>
        <w:spacing w:line="520" w:lineRule="exact"/>
        <w:ind w:firstLine="710" w:firstLineChars="296"/>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2.3.</w:t>
      </w:r>
      <w:r>
        <w:rPr>
          <w:rFonts w:hint="eastAsia" w:ascii="宋体" w:hAnsi="宋体" w:eastAsia="宋体" w:cs="宋体"/>
          <w:color w:val="auto"/>
          <w:sz w:val="24"/>
          <w:szCs w:val="24"/>
          <w:highlight w:val="none"/>
          <w:shd w:val="clear" w:color="auto" w:fill="auto"/>
          <w:lang w:val="en-US" w:eastAsia="zh-CN"/>
        </w:rPr>
        <w:t>6</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承诺书</w:t>
      </w:r>
    </w:p>
    <w:p w14:paraId="2F16C04D">
      <w:pPr>
        <w:spacing w:line="520" w:lineRule="exact"/>
        <w:ind w:firstLine="240" w:firstLineChars="1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须对以下内容做出承诺：</w:t>
      </w:r>
    </w:p>
    <w:p w14:paraId="2E906989">
      <w:pPr>
        <w:spacing w:line="520" w:lineRule="exact"/>
        <w:ind w:firstLine="470" w:firstLineChars="196"/>
        <w:rPr>
          <w:rFonts w:hint="eastAsia" w:ascii="宋体" w:hAnsi="宋体" w:eastAsia="宋体" w:cs="宋体"/>
          <w:b/>
          <w:bCs/>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3.1</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应保证在本项目使用的任何资料和服务的任何一部分，不会产生因第三方提出的侵犯其专利权、商标权、著作权或其它知识产权而引起的法律和经济纠纷，由此引起的纠纷，由</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承担所有相关责任；</w:t>
      </w:r>
    </w:p>
    <w:p w14:paraId="3EA8ED67">
      <w:pPr>
        <w:spacing w:line="520" w:lineRule="exact"/>
        <w:ind w:firstLine="470" w:firstLineChars="196"/>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3.2采购人享有在本项目实施过程中产生的知识成果及知识产权。</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如欲在项目实施过程中采用自有知识成果，需在投标文件中声明，并提供相关知识产权证明文件。使用该知识成果后，</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须提供开发接口和开发手册等技术文档，并承诺提供无限期技术支持，采购人享有永久使用权。如采用</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采购的知识产权，则在投标报价中必须包含合法获得该知识产权的相关费用。</w:t>
      </w:r>
    </w:p>
    <w:p w14:paraId="5A156FAF">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不得以他人名义投标和串通投标。</w:t>
      </w:r>
    </w:p>
    <w:p w14:paraId="4585DB02">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5、投标内容填写说明</w:t>
      </w:r>
    </w:p>
    <w:p w14:paraId="68886FDD">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5.1投标文件格式：</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提交的投标文件应当使用招标文件规定的全部格式（表格可以按同样格式扩展）填写，胶装成册。</w:t>
      </w:r>
    </w:p>
    <w:p w14:paraId="54B074E4">
      <w:pPr>
        <w:spacing w:line="520" w:lineRule="exact"/>
        <w:ind w:firstLine="480" w:firstLineChars="200"/>
        <w:rPr>
          <w:rFonts w:hint="eastAsia" w:ascii="宋体" w:hAnsi="宋体" w:eastAsia="宋体" w:cs="宋体"/>
          <w:color w:val="auto"/>
          <w:spacing w:val="-4"/>
          <w:sz w:val="24"/>
          <w:szCs w:val="24"/>
          <w:highlight w:val="none"/>
          <w:shd w:val="clear" w:color="auto" w:fill="auto"/>
        </w:rPr>
      </w:pPr>
      <w:r>
        <w:rPr>
          <w:rFonts w:hint="eastAsia" w:ascii="宋体" w:hAnsi="宋体" w:eastAsia="宋体" w:cs="宋体"/>
          <w:color w:val="auto"/>
          <w:sz w:val="24"/>
          <w:szCs w:val="24"/>
          <w:highlight w:val="none"/>
          <w:shd w:val="clear" w:color="auto" w:fill="auto"/>
        </w:rPr>
        <w:t>5.2投标报价一览表为在开标大会上唱标的内容，要求按格式填写。</w:t>
      </w:r>
      <w:r>
        <w:rPr>
          <w:rFonts w:hint="eastAsia" w:ascii="宋体" w:hAnsi="宋体" w:eastAsia="宋体" w:cs="宋体"/>
          <w:color w:val="auto"/>
          <w:spacing w:val="-4"/>
          <w:sz w:val="24"/>
          <w:szCs w:val="24"/>
          <w:highlight w:val="none"/>
          <w:shd w:val="clear" w:color="auto" w:fill="auto"/>
        </w:rPr>
        <w:t>若</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pacing w:val="-4"/>
          <w:sz w:val="24"/>
          <w:szCs w:val="24"/>
          <w:highlight w:val="none"/>
          <w:shd w:val="clear" w:color="auto" w:fill="auto"/>
        </w:rPr>
        <w:t>填写有误，</w:t>
      </w:r>
      <w:r>
        <w:rPr>
          <w:rFonts w:hint="eastAsia" w:ascii="宋体" w:hAnsi="宋体" w:eastAsia="宋体" w:cs="宋体"/>
          <w:color w:val="auto"/>
          <w:sz w:val="24"/>
          <w:szCs w:val="24"/>
          <w:highlight w:val="none"/>
          <w:shd w:val="clear" w:color="auto" w:fill="auto"/>
        </w:rPr>
        <w:t>采购</w:t>
      </w:r>
      <w:r>
        <w:rPr>
          <w:rFonts w:hint="eastAsia" w:ascii="宋体" w:hAnsi="宋体" w:eastAsia="宋体" w:cs="宋体"/>
          <w:color w:val="auto"/>
          <w:spacing w:val="-4"/>
          <w:sz w:val="24"/>
          <w:szCs w:val="24"/>
          <w:highlight w:val="none"/>
          <w:shd w:val="clear" w:color="auto" w:fill="auto"/>
        </w:rPr>
        <w:t>代理机构将默认为招标文件要求格式。</w:t>
      </w:r>
    </w:p>
    <w:p w14:paraId="2B688E2F">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6、投标文件的计量单位</w:t>
      </w:r>
    </w:p>
    <w:p w14:paraId="163AD85C">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投标文件中所使用的计量单位，除有特殊要求外，均采用国家法定计量单位。</w:t>
      </w:r>
    </w:p>
    <w:p w14:paraId="1E6274FE">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7、投标报价</w:t>
      </w:r>
    </w:p>
    <w:p w14:paraId="629E20C1">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7.1投标货币：人民币    单位：元。</w:t>
      </w:r>
    </w:p>
    <w:p w14:paraId="0E204856">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7.2 投标报价为</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充分考虑招标文件的各项条款和所掌握的市场情况及本项目的实际，根据自身情况自主作出的报价。</w:t>
      </w:r>
    </w:p>
    <w:p w14:paraId="2711CFB4">
      <w:pPr>
        <w:spacing w:line="48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7.3凡招标文件要求或允许招标中进行报价的各项费用项目，若投标时未报，采购人将按这些费用已包含在投标报价中对待。</w:t>
      </w:r>
    </w:p>
    <w:p w14:paraId="2E47768B">
      <w:pPr>
        <w:spacing w:line="48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7.4最低报价不是中标的唯一依据。</w:t>
      </w:r>
    </w:p>
    <w:p w14:paraId="0D309690">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7.5</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不得以低于成本的报价参加投标。当评标委员会认为某个</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的投标价明显不合理或者低于成本，有可能影响项目质量和不能诚信履约的，可要求该</w:t>
      </w:r>
      <w:r>
        <w:rPr>
          <w:rFonts w:hint="eastAsia" w:ascii="宋体" w:hAnsi="宋体" w:eastAsia="宋体" w:cs="宋体"/>
          <w:color w:val="auto"/>
          <w:sz w:val="24"/>
          <w:szCs w:val="24"/>
          <w:highlight w:val="none"/>
          <w:shd w:val="clear" w:color="auto" w:fill="auto"/>
          <w:lang w:eastAsia="zh-CN"/>
        </w:rPr>
        <w:t>投供应商</w:t>
      </w:r>
      <w:r>
        <w:rPr>
          <w:rFonts w:hint="eastAsia" w:ascii="宋体" w:hAnsi="宋体" w:eastAsia="宋体" w:cs="宋体"/>
          <w:color w:val="auto"/>
          <w:sz w:val="24"/>
          <w:szCs w:val="24"/>
          <w:highlight w:val="none"/>
          <w:shd w:val="clear" w:color="auto" w:fill="auto"/>
        </w:rPr>
        <w:t>在规定的期限内提供书面文件予以解释说明，并提交相关证明材料；否则，评标委员会认定该</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以低于成本报价竞标，其投标应作无效投标处理。</w:t>
      </w:r>
    </w:p>
    <w:p w14:paraId="3397A6C6">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8、无论投标的结果如何，投标期间一切费用自理。</w:t>
      </w:r>
    </w:p>
    <w:p w14:paraId="64E2AD2B">
      <w:pPr>
        <w:pStyle w:val="4"/>
        <w:spacing w:before="0" w:after="0" w:line="700" w:lineRule="exact"/>
        <w:rPr>
          <w:rFonts w:hint="eastAsia" w:ascii="宋体" w:hAnsi="宋体" w:eastAsia="宋体" w:cs="宋体"/>
          <w:color w:val="auto"/>
          <w:sz w:val="24"/>
          <w:szCs w:val="24"/>
          <w:highlight w:val="none"/>
          <w:shd w:val="clear" w:color="auto" w:fill="auto"/>
        </w:rPr>
      </w:pPr>
      <w:bookmarkStart w:id="46" w:name="_Toc17416"/>
      <w:bookmarkStart w:id="47" w:name="_Toc9472"/>
      <w:bookmarkStart w:id="48" w:name="_Toc23656"/>
      <w:bookmarkStart w:id="49" w:name="_Toc27238"/>
      <w:r>
        <w:rPr>
          <w:rFonts w:hint="eastAsia" w:ascii="宋体" w:hAnsi="宋体" w:eastAsia="宋体" w:cs="宋体"/>
          <w:color w:val="auto"/>
          <w:sz w:val="24"/>
          <w:szCs w:val="24"/>
          <w:highlight w:val="none"/>
          <w:shd w:val="clear" w:color="auto" w:fill="auto"/>
        </w:rPr>
        <w:t>五、投标保证金</w:t>
      </w:r>
      <w:bookmarkEnd w:id="46"/>
      <w:bookmarkEnd w:id="47"/>
      <w:bookmarkEnd w:id="48"/>
      <w:bookmarkEnd w:id="49"/>
    </w:p>
    <w:p w14:paraId="4551C52A">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val="zh-CN"/>
        </w:rPr>
        <w:t>、供应商须向采购代理机构</w:t>
      </w:r>
      <w:r>
        <w:rPr>
          <w:rFonts w:hint="eastAsia" w:ascii="宋体" w:hAnsi="宋体" w:eastAsia="宋体" w:cs="宋体"/>
          <w:color w:val="auto"/>
          <w:sz w:val="24"/>
          <w:szCs w:val="24"/>
          <w:highlight w:val="none"/>
          <w:shd w:val="clear" w:color="auto" w:fill="auto"/>
          <w:lang w:val="en-US" w:eastAsia="zh-CN"/>
        </w:rPr>
        <w:t>缴纳</w:t>
      </w:r>
      <w:r>
        <w:rPr>
          <w:rFonts w:hint="eastAsia" w:ascii="宋体" w:hAnsi="宋体" w:eastAsia="宋体" w:cs="宋体"/>
          <w:color w:val="auto"/>
          <w:sz w:val="24"/>
          <w:szCs w:val="24"/>
          <w:highlight w:val="none"/>
          <w:shd w:val="clear" w:color="auto" w:fill="auto"/>
          <w:lang w:val="zh-CN"/>
        </w:rPr>
        <w:t>的保证金：</w:t>
      </w:r>
      <w:r>
        <w:rPr>
          <w:rFonts w:hint="eastAsia" w:ascii="宋体" w:hAnsi="宋体" w:eastAsia="宋体" w:cs="宋体"/>
          <w:color w:val="auto"/>
          <w:sz w:val="24"/>
          <w:szCs w:val="24"/>
          <w:highlight w:val="none"/>
          <w:shd w:val="clear" w:color="auto" w:fill="auto"/>
        </w:rPr>
        <w:t xml:space="preserve">无。  </w:t>
      </w:r>
    </w:p>
    <w:p w14:paraId="61FAFA37">
      <w:pPr>
        <w:widowControl w:val="0"/>
        <w:spacing w:line="480" w:lineRule="exact"/>
        <w:ind w:firstLine="480" w:firstLineChars="200"/>
        <w:jc w:val="both"/>
        <w:rPr>
          <w:rFonts w:hint="eastAsia" w:ascii="宋体" w:hAnsi="宋体" w:eastAsia="宋体" w:cs="宋体"/>
          <w:color w:val="auto"/>
          <w:sz w:val="24"/>
          <w:szCs w:val="24"/>
          <w:highlight w:val="none"/>
          <w:shd w:val="clear" w:color="auto" w:fill="auto"/>
          <w:lang w:val="en-US" w:eastAsia="zh-CN"/>
        </w:rPr>
      </w:pPr>
      <w:bookmarkStart w:id="50" w:name="_Toc14858"/>
      <w:bookmarkStart w:id="51" w:name="_Toc19040"/>
      <w:bookmarkStart w:id="52" w:name="_Toc26476"/>
      <w:bookmarkStart w:id="53" w:name="_Toc3438"/>
      <w:r>
        <w:rPr>
          <w:rFonts w:hint="eastAsia" w:ascii="宋体" w:hAnsi="宋体" w:eastAsia="宋体" w:cs="宋体"/>
          <w:color w:val="auto"/>
          <w:sz w:val="24"/>
          <w:szCs w:val="24"/>
          <w:highlight w:val="none"/>
          <w:shd w:val="clear" w:color="auto" w:fill="auto"/>
          <w:lang w:val="en-US" w:eastAsia="zh-CN"/>
        </w:rPr>
        <w:t>2、根据陕西省财政厅关于政府采购支持中小企业发展有关事项的通知《陕财办采[2020]13号》及咸阳市财政局 《关于促进政府采购公平竞争优化营商环境的通知》咸财采购〔2021〕9 号、咸阳市财政局关于政府采购领域贯彻落实《咸阳市落实优化营商环境三年行动计划（2021-2023年）》的通知，免交投标保证金。</w:t>
      </w:r>
    </w:p>
    <w:p w14:paraId="6253704C">
      <w:pPr>
        <w:pStyle w:val="4"/>
        <w:spacing w:before="0" w:after="0" w:line="700" w:lineRule="exact"/>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六、投标</w:t>
      </w:r>
      <w:bookmarkEnd w:id="50"/>
      <w:bookmarkEnd w:id="51"/>
      <w:bookmarkEnd w:id="52"/>
      <w:bookmarkEnd w:id="53"/>
    </w:p>
    <w:p w14:paraId="7D385742">
      <w:pPr>
        <w:spacing w:line="520" w:lineRule="exact"/>
        <w:ind w:firstLine="240" w:firstLineChars="1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1、投标文件的制作、签署</w:t>
      </w:r>
    </w:p>
    <w:p w14:paraId="3029B5FD">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（1）投标文件的各项资料均应遵守本条规定。</w:t>
      </w:r>
    </w:p>
    <w:p w14:paraId="69EDAF62">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应填写全称，由法定代表人或被授权人签字或盖章，如有遗漏，将被视为无效投标。</w:t>
      </w:r>
    </w:p>
    <w:p w14:paraId="3D8F5B5C">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（3）投标文件应按招标文件给定的格式填写相关内容。除明确允许</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可以自行编写的外，</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不得以“投标文件格式”规定之外的方式填写相关内容。否则，将被视为无效投标。要求加盖</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公章和经法定代表人或被授权人签字（或盖章）。</w:t>
      </w:r>
    </w:p>
    <w:p w14:paraId="417284A9">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（4）除</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对错误处需修改外，全套投标文件应无涂改或行间插字或增删。如有修改，修改处应加盖</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公章和法定代表人或被授权人签字（或盖章）确认。</w:t>
      </w:r>
    </w:p>
    <w:p w14:paraId="53ECD7FC">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（5）投标文件的正本和副本均需打印或用不褪色、不变质的墨水书写。因字迹潦草或表达不清所引起的后果由</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自行负责。</w:t>
      </w:r>
    </w:p>
    <w:p w14:paraId="5302DF52">
      <w:pPr>
        <w:spacing w:line="520" w:lineRule="exact"/>
        <w:ind w:firstLine="480" w:firstLineChars="200"/>
        <w:rPr>
          <w:rFonts w:hint="eastAsia" w:ascii="宋体" w:hAnsi="宋体" w:eastAsia="宋体" w:cs="宋体"/>
          <w:b/>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（6）投标文件电子版内容须与投标文件纸质版正本中的内容一致，电子版中包含资质证明文件等材料的扫描件。否则，将被视为无效投标。</w:t>
      </w:r>
    </w:p>
    <w:p w14:paraId="3EA1E7B6">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2、投标文件的装订和递交</w:t>
      </w:r>
      <w:r>
        <w:rPr>
          <w:rFonts w:hint="eastAsia" w:ascii="宋体" w:hAnsi="宋体" w:eastAsia="宋体" w:cs="宋体"/>
          <w:color w:val="auto"/>
          <w:sz w:val="24"/>
          <w:szCs w:val="24"/>
          <w:highlight w:val="none"/>
          <w:shd w:val="clear" w:color="auto" w:fill="auto"/>
        </w:rPr>
        <w:tab/>
      </w:r>
    </w:p>
    <w:p w14:paraId="0935B050">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2.1投标文件的装订：</w:t>
      </w:r>
    </w:p>
    <w:p w14:paraId="6432A5AD">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（1）投标时，</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应自行将投标文件密封完好</w:t>
      </w:r>
      <w:bookmarkStart w:id="54" w:name="OLE_LINK12"/>
      <w:r>
        <w:rPr>
          <w:rFonts w:hint="eastAsia" w:ascii="宋体" w:hAnsi="宋体" w:eastAsia="宋体" w:cs="宋体"/>
          <w:color w:val="auto"/>
          <w:sz w:val="24"/>
          <w:szCs w:val="24"/>
          <w:highlight w:val="none"/>
          <w:shd w:val="clear" w:color="auto" w:fill="auto"/>
        </w:rPr>
        <w:t>（封袋不得有破损）</w:t>
      </w:r>
      <w:bookmarkEnd w:id="54"/>
      <w:r>
        <w:rPr>
          <w:rFonts w:hint="eastAsia" w:ascii="宋体" w:hAnsi="宋体" w:eastAsia="宋体" w:cs="宋体"/>
          <w:color w:val="auto"/>
          <w:sz w:val="24"/>
          <w:szCs w:val="24"/>
          <w:highlight w:val="none"/>
          <w:shd w:val="clear" w:color="auto" w:fill="auto"/>
        </w:rPr>
        <w:t>。标袋上应写明项目名称、</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名称及“正本”、“副本”字样，并在密封条接缝处加盖单位公章（鲜章）和</w:t>
      </w:r>
      <w:bookmarkStart w:id="55" w:name="OLE_LINK2"/>
      <w:r>
        <w:rPr>
          <w:rFonts w:hint="eastAsia" w:ascii="宋体" w:hAnsi="宋体" w:eastAsia="宋体" w:cs="宋体"/>
          <w:color w:val="auto"/>
          <w:sz w:val="24"/>
          <w:szCs w:val="24"/>
          <w:highlight w:val="none"/>
          <w:shd w:val="clear" w:color="auto" w:fill="auto"/>
        </w:rPr>
        <w:t>法定代表人或被授权人</w:t>
      </w:r>
      <w:bookmarkEnd w:id="55"/>
      <w:r>
        <w:rPr>
          <w:rFonts w:hint="eastAsia" w:ascii="宋体" w:hAnsi="宋体" w:eastAsia="宋体" w:cs="宋体"/>
          <w:color w:val="auto"/>
          <w:sz w:val="24"/>
          <w:szCs w:val="24"/>
          <w:highlight w:val="none"/>
          <w:shd w:val="clear" w:color="auto" w:fill="auto"/>
        </w:rPr>
        <w:t>签字或盖章；</w:t>
      </w:r>
    </w:p>
    <w:p w14:paraId="7B651C4A">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（2）投标文件一律采用书籍（胶装）方式装订。投标文件共</w:t>
      </w:r>
      <w:r>
        <w:rPr>
          <w:rFonts w:hint="eastAsia" w:ascii="宋体" w:hAnsi="宋体" w:eastAsia="宋体" w:cs="宋体"/>
          <w:color w:val="auto"/>
          <w:sz w:val="24"/>
          <w:szCs w:val="24"/>
          <w:highlight w:val="none"/>
          <w:shd w:val="clear" w:color="auto" w:fill="auto"/>
          <w:lang w:val="en-US" w:eastAsia="zh-CN"/>
        </w:rPr>
        <w:t>六</w:t>
      </w:r>
      <w:r>
        <w:rPr>
          <w:rFonts w:hint="eastAsia" w:ascii="宋体" w:hAnsi="宋体" w:eastAsia="宋体" w:cs="宋体"/>
          <w:color w:val="auto"/>
          <w:sz w:val="24"/>
          <w:szCs w:val="24"/>
          <w:highlight w:val="none"/>
          <w:shd w:val="clear" w:color="auto" w:fill="auto"/>
        </w:rPr>
        <w:t>份，其中正本一份，副本二份，电子文件</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rPr>
        <w:t>份</w:t>
      </w:r>
      <w:r>
        <w:rPr>
          <w:rFonts w:hint="eastAsia" w:ascii="宋体" w:hAnsi="宋体" w:eastAsia="宋体" w:cs="宋体"/>
          <w:b/>
          <w:bCs/>
          <w:color w:val="auto"/>
          <w:sz w:val="24"/>
          <w:szCs w:val="24"/>
          <w:highlight w:val="none"/>
          <w:shd w:val="clear" w:color="auto" w:fill="auto"/>
          <w:lang w:eastAsia="zh-CN"/>
        </w:rPr>
        <w:t>（</w:t>
      </w:r>
      <w:r>
        <w:rPr>
          <w:rFonts w:hint="eastAsia" w:ascii="宋体" w:hAnsi="宋体" w:eastAsia="宋体" w:cs="宋体"/>
          <w:b/>
          <w:bCs/>
          <w:color w:val="auto"/>
          <w:sz w:val="24"/>
          <w:szCs w:val="24"/>
          <w:highlight w:val="none"/>
          <w:shd w:val="clear" w:color="auto" w:fill="auto"/>
          <w:lang w:val="en-US" w:eastAsia="zh-CN"/>
        </w:rPr>
        <w:t>U盘需标注单位名称</w:t>
      </w:r>
      <w:r>
        <w:rPr>
          <w:rFonts w:hint="eastAsia" w:ascii="宋体" w:hAnsi="宋体" w:eastAsia="宋体" w:cs="宋体"/>
          <w:b/>
          <w:bCs/>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rPr>
        <w:t>，投标报价一览表一份。</w:t>
      </w:r>
      <w:r>
        <w:rPr>
          <w:rFonts w:hint="eastAsia" w:ascii="宋体" w:hAnsi="宋体" w:eastAsia="宋体" w:cs="宋体"/>
          <w:b/>
          <w:bCs/>
          <w:color w:val="auto"/>
          <w:sz w:val="24"/>
          <w:szCs w:val="24"/>
          <w:highlight w:val="none"/>
          <w:shd w:val="clear" w:color="auto" w:fill="auto"/>
        </w:rPr>
        <w:t>投标文件的正本和副本均须A4纸打印，并编制目录和页码。</w:t>
      </w:r>
      <w:r>
        <w:rPr>
          <w:rFonts w:hint="eastAsia" w:ascii="宋体" w:hAnsi="宋体" w:eastAsia="宋体" w:cs="宋体"/>
          <w:color w:val="auto"/>
          <w:sz w:val="24"/>
          <w:szCs w:val="24"/>
          <w:highlight w:val="none"/>
          <w:shd w:val="clear" w:color="auto" w:fill="auto"/>
        </w:rPr>
        <w:t>正、副本分别各自装订成册，单独密封，投标报价一览表单独密封。电子版放置“正本”密封袋内。各标袋上注明“开标时启封”字样。如果正本与副本不符，以正本为准。</w:t>
      </w:r>
    </w:p>
    <w:p w14:paraId="2CF0E921">
      <w:pPr>
        <w:spacing w:line="520" w:lineRule="exact"/>
        <w:ind w:firstLine="482" w:firstLineChars="200"/>
        <w:rPr>
          <w:rFonts w:hint="eastAsia" w:ascii="宋体" w:hAnsi="宋体" w:eastAsia="宋体" w:cs="宋体"/>
          <w:b/>
          <w:color w:val="auto"/>
          <w:sz w:val="24"/>
          <w:szCs w:val="24"/>
          <w:highlight w:val="none"/>
          <w:u w:val="single"/>
          <w:shd w:val="clear" w:color="auto" w:fill="auto"/>
        </w:rPr>
      </w:pPr>
      <w:r>
        <w:rPr>
          <w:rFonts w:hint="eastAsia" w:ascii="宋体" w:hAnsi="宋体" w:eastAsia="宋体" w:cs="宋体"/>
          <w:b/>
          <w:color w:val="auto"/>
          <w:sz w:val="24"/>
          <w:szCs w:val="24"/>
          <w:highlight w:val="none"/>
          <w:shd w:val="clear" w:color="auto" w:fill="auto"/>
        </w:rPr>
        <w:t>注：</w:t>
      </w:r>
      <w:r>
        <w:rPr>
          <w:rFonts w:hint="eastAsia" w:ascii="宋体" w:hAnsi="宋体" w:eastAsia="宋体" w:cs="宋体"/>
          <w:b/>
          <w:color w:val="auto"/>
          <w:sz w:val="24"/>
          <w:szCs w:val="24"/>
          <w:highlight w:val="none"/>
          <w:u w:val="single"/>
          <w:shd w:val="clear" w:color="auto" w:fill="auto"/>
        </w:rPr>
        <w:t>对未按招标文件要求数量和方式装订递交的投标文件，将作为无效投标文件。</w:t>
      </w:r>
    </w:p>
    <w:p w14:paraId="0FFFC358">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2.2投标文件的递交：</w:t>
      </w:r>
    </w:p>
    <w:p w14:paraId="2565A25C">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应按规定的时间、地点，于投标截止时间前递交投标文件；</w:t>
      </w:r>
    </w:p>
    <w:p w14:paraId="280A14FD">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在规定的投标截止时间后递交投标文件，将被拒收。</w:t>
      </w:r>
    </w:p>
    <w:p w14:paraId="3D66471A">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（3）本次招标不接受邮寄的投标文件。</w:t>
      </w:r>
    </w:p>
    <w:p w14:paraId="7471EB43">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（4）采购代理机构只负责投标文件的接收、登记工作，对其有效性不负任何责任，请</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法定代表人或被授权人签字确认递交情况。</w:t>
      </w:r>
    </w:p>
    <w:p w14:paraId="463A2445">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2.3投标文件的补充、修改与撤回：</w:t>
      </w:r>
    </w:p>
    <w:p w14:paraId="641BD349">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在递交投标文件以后，在规定的投标截止时间之前,可以书面形式补充、修改或撤回已递交的投标文件，并以书面形式通知采购代理机构。补充、修改的内容应当按招标文件要求密封、签署、盖章，并作为投标文件的组成部分；补充、修改的内容与相应文件不一致的，以补充、修改的内容为准；</w:t>
      </w:r>
    </w:p>
    <w:p w14:paraId="29213CC3">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提出修改和撤标要求的，须在投标截止时间前密封送到采购代理机构，并在封面上加注“修改”或“撤回”字样。采购代理机构摄像留存后，将投标文件（包含纸质及电子版）退还</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w:t>
      </w:r>
    </w:p>
    <w:p w14:paraId="0562D44F">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（3）撤回投标文件应以书面形式由法定代表人或被授权人通知采购代理机构。</w:t>
      </w:r>
    </w:p>
    <w:p w14:paraId="4981228F">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（4）投标截止时间之后，</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不得补充、修改投标文件；</w:t>
      </w:r>
    </w:p>
    <w:p w14:paraId="78444266">
      <w:pPr>
        <w:tabs>
          <w:tab w:val="left" w:pos="2700"/>
        </w:tabs>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（5）在投标截止时间至投标有效期满之前，</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不得撤回其投标文件。</w:t>
      </w:r>
    </w:p>
    <w:p w14:paraId="2C5A5128">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2-4、投标文件的有效性：</w:t>
      </w:r>
    </w:p>
    <w:p w14:paraId="54F1F08B">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（1）开标时，投标文件出现下列情形之一的，应当作为无效投标文件，不得进入评标：</w:t>
      </w:r>
    </w:p>
    <w:p w14:paraId="3E6023B1">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a、投标文件、投标函未按要求加盖</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公章和未经法定代表人或被授权人签字（或盖章）；</w:t>
      </w:r>
    </w:p>
    <w:p w14:paraId="4818CE60">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b、投标文件的关键内容字迹模糊、无法辨认的；</w:t>
      </w:r>
    </w:p>
    <w:p w14:paraId="7ABBDF5D">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c、投标文件附有采购人不能接受的条件的；</w:t>
      </w:r>
    </w:p>
    <w:p w14:paraId="14A53E99">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d、不符合招标文件规定的其他实质性要求的。</w:t>
      </w:r>
    </w:p>
    <w:p w14:paraId="1F227677">
      <w:pPr>
        <w:pStyle w:val="23"/>
        <w:spacing w:line="500" w:lineRule="exact"/>
        <w:ind w:firstLine="480"/>
        <w:rPr>
          <w:rFonts w:hint="eastAsia" w:ascii="宋体" w:hAnsi="宋体" w:eastAsia="宋体" w:cs="宋体"/>
          <w:color w:val="auto"/>
          <w:spacing w:val="-4"/>
          <w:sz w:val="24"/>
          <w:szCs w:val="24"/>
          <w:highlight w:val="none"/>
          <w:shd w:val="clear" w:color="auto" w:fill="auto"/>
        </w:rPr>
      </w:pPr>
      <w:r>
        <w:rPr>
          <w:rFonts w:hint="eastAsia" w:ascii="宋体" w:hAnsi="宋体" w:eastAsia="宋体" w:cs="宋体"/>
          <w:color w:val="auto"/>
          <w:sz w:val="24"/>
          <w:szCs w:val="24"/>
          <w:highlight w:val="none"/>
          <w:shd w:val="clear" w:color="auto" w:fill="auto"/>
        </w:rPr>
        <w:t>（2）</w:t>
      </w:r>
      <w:r>
        <w:rPr>
          <w:rFonts w:hint="eastAsia" w:ascii="宋体" w:hAnsi="宋体" w:eastAsia="宋体" w:cs="宋体"/>
          <w:color w:val="auto"/>
          <w:spacing w:val="-4"/>
          <w:sz w:val="24"/>
          <w:szCs w:val="24"/>
          <w:highlight w:val="none"/>
          <w:shd w:val="clear" w:color="auto" w:fill="auto"/>
        </w:rPr>
        <w:t>投标有效期：</w:t>
      </w:r>
    </w:p>
    <w:p w14:paraId="2031BBC4">
      <w:pPr>
        <w:pStyle w:val="23"/>
        <w:spacing w:line="500" w:lineRule="exact"/>
        <w:ind w:firstLine="464"/>
        <w:rPr>
          <w:rFonts w:hint="eastAsia" w:ascii="宋体" w:hAnsi="宋体" w:eastAsia="宋体" w:cs="宋体"/>
          <w:color w:val="auto"/>
          <w:kern w:val="2"/>
          <w:sz w:val="24"/>
          <w:szCs w:val="24"/>
          <w:highlight w:val="none"/>
          <w:shd w:val="clear" w:color="auto" w:fill="auto"/>
        </w:rPr>
      </w:pPr>
      <w:r>
        <w:rPr>
          <w:rFonts w:hint="eastAsia" w:ascii="宋体" w:hAnsi="宋体" w:eastAsia="宋体" w:cs="宋体"/>
          <w:color w:val="auto"/>
          <w:spacing w:val="-4"/>
          <w:sz w:val="24"/>
          <w:szCs w:val="24"/>
          <w:highlight w:val="none"/>
          <w:shd w:val="clear" w:color="auto" w:fill="auto"/>
        </w:rPr>
        <w:t>a、自开标之日起算90个日历日。</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pacing w:val="-4"/>
          <w:sz w:val="24"/>
          <w:szCs w:val="24"/>
          <w:highlight w:val="none"/>
          <w:shd w:val="clear" w:color="auto" w:fill="auto"/>
        </w:rPr>
        <w:t>投标有效期短于招标文件规定</w:t>
      </w:r>
      <w:r>
        <w:rPr>
          <w:rFonts w:hint="eastAsia" w:ascii="宋体" w:hAnsi="宋体" w:eastAsia="宋体" w:cs="宋体"/>
          <w:color w:val="auto"/>
          <w:kern w:val="2"/>
          <w:sz w:val="24"/>
          <w:szCs w:val="24"/>
          <w:highlight w:val="none"/>
          <w:shd w:val="clear" w:color="auto" w:fill="auto"/>
        </w:rPr>
        <w:t>的投标有效期，按无效投标处理。中标单位的投标有效期延长至合同执行完毕。</w:t>
      </w:r>
    </w:p>
    <w:p w14:paraId="76B45E3B">
      <w:pPr>
        <w:spacing w:line="520" w:lineRule="exact"/>
        <w:ind w:firstLine="464" w:firstLineChars="200"/>
        <w:rPr>
          <w:rFonts w:hint="eastAsia" w:ascii="宋体" w:hAnsi="宋体" w:eastAsia="宋体" w:cs="宋体"/>
          <w:color w:val="auto"/>
          <w:spacing w:val="-4"/>
          <w:kern w:val="0"/>
          <w:sz w:val="24"/>
          <w:szCs w:val="24"/>
          <w:highlight w:val="none"/>
          <w:shd w:val="clear" w:color="auto" w:fill="auto"/>
        </w:rPr>
      </w:pPr>
      <w:r>
        <w:rPr>
          <w:rFonts w:hint="eastAsia" w:ascii="宋体" w:hAnsi="宋体" w:eastAsia="宋体" w:cs="宋体"/>
          <w:color w:val="auto"/>
          <w:spacing w:val="-4"/>
          <w:kern w:val="0"/>
          <w:sz w:val="24"/>
          <w:szCs w:val="24"/>
          <w:highlight w:val="none"/>
          <w:shd w:val="clear" w:color="auto" w:fill="auto"/>
        </w:rPr>
        <w:t>b、在原投标有效期结束前，采购代理机构可要求</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pacing w:val="-4"/>
          <w:kern w:val="0"/>
          <w:sz w:val="24"/>
          <w:szCs w:val="24"/>
          <w:highlight w:val="none"/>
          <w:shd w:val="clear" w:color="auto" w:fill="auto"/>
        </w:rPr>
        <w:t>延长投标有效期。拒绝延长投标有效期的</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pacing w:val="-4"/>
          <w:kern w:val="0"/>
          <w:sz w:val="24"/>
          <w:szCs w:val="24"/>
          <w:highlight w:val="none"/>
          <w:shd w:val="clear" w:color="auto" w:fill="auto"/>
        </w:rPr>
        <w:t>不得参与该项目后续招标活动。同意延长投标有效期的不得修改投标文件的实质性内容。</w:t>
      </w:r>
    </w:p>
    <w:p w14:paraId="17EA803B">
      <w:pPr>
        <w:pStyle w:val="4"/>
        <w:spacing w:before="0" w:after="0" w:line="700" w:lineRule="exact"/>
        <w:rPr>
          <w:rFonts w:hint="eastAsia" w:ascii="宋体" w:hAnsi="宋体" w:eastAsia="宋体" w:cs="宋体"/>
          <w:color w:val="auto"/>
          <w:sz w:val="24"/>
          <w:szCs w:val="24"/>
          <w:highlight w:val="none"/>
          <w:shd w:val="clear" w:color="auto" w:fill="auto"/>
        </w:rPr>
      </w:pPr>
      <w:bookmarkStart w:id="56" w:name="_Toc27493"/>
      <w:bookmarkStart w:id="57" w:name="_Toc24268"/>
      <w:r>
        <w:rPr>
          <w:rFonts w:hint="eastAsia" w:ascii="宋体" w:hAnsi="宋体" w:eastAsia="宋体" w:cs="宋体"/>
          <w:color w:val="auto"/>
          <w:sz w:val="24"/>
          <w:szCs w:val="24"/>
          <w:highlight w:val="none"/>
          <w:shd w:val="clear" w:color="auto" w:fill="auto"/>
        </w:rPr>
        <w:t>七、开标、评标和定标</w:t>
      </w:r>
      <w:bookmarkEnd w:id="42"/>
      <w:bookmarkEnd w:id="43"/>
      <w:bookmarkEnd w:id="44"/>
      <w:bookmarkEnd w:id="45"/>
      <w:bookmarkEnd w:id="56"/>
      <w:bookmarkEnd w:id="57"/>
    </w:p>
    <w:p w14:paraId="2F9C614B">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bCs/>
          <w:color w:val="auto"/>
          <w:sz w:val="24"/>
          <w:szCs w:val="24"/>
          <w:highlight w:val="none"/>
          <w:shd w:val="clear" w:color="auto" w:fill="auto"/>
        </w:rPr>
        <w:t>1、开标</w:t>
      </w:r>
    </w:p>
    <w:p w14:paraId="617A4D79">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1.1采购代理机构按招标文件规定的时间和地点组织公开开标会议。</w:t>
      </w:r>
    </w:p>
    <w:p w14:paraId="53EEDA55">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1.2所有参会人员应签名报到，以证明其出席。法定代表人或被授权人未出席并签字报到的视为无效投标。</w:t>
      </w:r>
    </w:p>
    <w:p w14:paraId="7D5522FC">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1.3合格</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按规定提交合格的投标文件后到投标截止时间前如中途要求撤回时，则该投标文件不予开封，摄像留存后，将投标文件退还</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（包含纸质及电子版）。其他已签到并递交的投标文件不予退还（包含纸质及电子版）。</w:t>
      </w:r>
    </w:p>
    <w:p w14:paraId="7FA6B09C">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1.4开标程序： </w:t>
      </w:r>
    </w:p>
    <w:p w14:paraId="7AB71296">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（1）开标会议由采购代理机构主持。主持人宣读开标会议开始，并宣读会场纪律。</w:t>
      </w:r>
    </w:p>
    <w:p w14:paraId="6004A842">
      <w:pPr>
        <w:spacing w:line="48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（2）根据签到情况宣布参加会议的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名单。</w:t>
      </w:r>
    </w:p>
    <w:p w14:paraId="68DF1DD3">
      <w:pPr>
        <w:spacing w:line="48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（3）监标人对</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身份进行</w:t>
      </w:r>
      <w:r>
        <w:rPr>
          <w:rFonts w:hint="eastAsia" w:ascii="宋体" w:hAnsi="宋体" w:eastAsia="宋体" w:cs="宋体"/>
          <w:color w:val="auto"/>
          <w:sz w:val="24"/>
          <w:szCs w:val="24"/>
          <w:highlight w:val="none"/>
          <w:shd w:val="clear" w:color="auto" w:fill="auto"/>
          <w:lang w:val="en-US" w:eastAsia="zh-CN"/>
        </w:rPr>
        <w:t>确认</w:t>
      </w:r>
      <w:r>
        <w:rPr>
          <w:rFonts w:hint="eastAsia" w:ascii="宋体" w:hAnsi="宋体" w:eastAsia="宋体" w:cs="宋体"/>
          <w:color w:val="auto"/>
          <w:sz w:val="24"/>
          <w:szCs w:val="24"/>
          <w:highlight w:val="none"/>
          <w:shd w:val="clear" w:color="auto" w:fill="auto"/>
        </w:rPr>
        <w:t>。</w:t>
      </w:r>
    </w:p>
    <w:p w14:paraId="06647DBA">
      <w:pPr>
        <w:spacing w:line="48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的法定代表人或被授权人与监标人当众共同检查投标文件的密封情况，签字确认并宣读检查结果。</w:t>
      </w:r>
      <w:r>
        <w:rPr>
          <w:rFonts w:hint="eastAsia" w:ascii="宋体" w:hAnsi="宋体" w:eastAsia="宋体" w:cs="宋体"/>
          <w:b/>
          <w:color w:val="auto"/>
          <w:sz w:val="24"/>
          <w:szCs w:val="24"/>
          <w:highlight w:val="none"/>
          <w:shd w:val="clear" w:color="auto" w:fill="auto"/>
        </w:rPr>
        <w:t>未通过审查的按无效投标处理</w:t>
      </w:r>
      <w:r>
        <w:rPr>
          <w:rFonts w:hint="eastAsia" w:ascii="宋体" w:hAnsi="宋体" w:eastAsia="宋体" w:cs="宋体"/>
          <w:color w:val="auto"/>
          <w:sz w:val="24"/>
          <w:szCs w:val="24"/>
          <w:highlight w:val="none"/>
          <w:shd w:val="clear" w:color="auto" w:fill="auto"/>
        </w:rPr>
        <w:t>。</w:t>
      </w:r>
    </w:p>
    <w:p w14:paraId="61736BFC">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（5）经确认无误后，由采购代理机构依递交投标文件的逆序当众拆封，宣读</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名称、投标价格和投标文件的其它主要内容并做记录。</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确认无误后，由</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的法定代表人或被授权人及监督管理机构代表签字确认唱标内容。如</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对宣读的“投标报价一览表”上的内容有异议，应在获得主持人同意后当场提出，如属于宣读错误，经现场监督人员核实后，当场予以更正。</w:t>
      </w:r>
    </w:p>
    <w:p w14:paraId="706D2432">
      <w:pPr>
        <w:spacing w:line="520" w:lineRule="exact"/>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（6）</w:t>
      </w:r>
      <w:r>
        <w:rPr>
          <w:rFonts w:hint="eastAsia" w:ascii="宋体" w:hAnsi="宋体" w:eastAsia="宋体" w:cs="宋体"/>
          <w:color w:val="auto"/>
          <w:sz w:val="24"/>
          <w:szCs w:val="24"/>
          <w:highlight w:val="none"/>
          <w:shd w:val="clear" w:color="auto" w:fill="auto"/>
          <w:lang w:val="en-US" w:eastAsia="zh-CN"/>
        </w:rPr>
        <w:t>服务或货物类项目由</w:t>
      </w:r>
      <w:bookmarkStart w:id="58" w:name="OLE_LINK14"/>
      <w:r>
        <w:rPr>
          <w:rFonts w:hint="eastAsia" w:ascii="宋体" w:hAnsi="宋体" w:eastAsia="宋体" w:cs="宋体"/>
          <w:color w:val="auto"/>
          <w:sz w:val="24"/>
          <w:szCs w:val="24"/>
          <w:highlight w:val="none"/>
          <w:shd w:val="clear" w:color="auto" w:fill="auto"/>
          <w:lang w:val="en-US" w:eastAsia="zh-CN"/>
        </w:rPr>
        <w:t>采购人或代理机构</w:t>
      </w:r>
      <w:bookmarkEnd w:id="58"/>
      <w:r>
        <w:rPr>
          <w:rFonts w:hint="eastAsia" w:ascii="宋体" w:hAnsi="宋体" w:eastAsia="宋体" w:cs="宋体"/>
          <w:color w:val="auto"/>
          <w:sz w:val="24"/>
          <w:szCs w:val="24"/>
          <w:highlight w:val="none"/>
          <w:shd w:val="clear" w:color="auto" w:fill="auto"/>
          <w:lang w:val="en-US" w:eastAsia="zh-CN"/>
        </w:rPr>
        <w:t>对供应商资格进行查验。工程类由评标委员会对供应商资格进行查验。</w:t>
      </w:r>
    </w:p>
    <w:p w14:paraId="6A43413C">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eastAsia="zh-CN"/>
        </w:rPr>
        <w:t>（</w:t>
      </w:r>
      <w:r>
        <w:rPr>
          <w:rFonts w:hint="eastAsia" w:ascii="宋体" w:hAnsi="宋体" w:eastAsia="宋体" w:cs="宋体"/>
          <w:color w:val="auto"/>
          <w:sz w:val="24"/>
          <w:szCs w:val="24"/>
          <w:highlight w:val="none"/>
          <w:shd w:val="clear" w:color="auto" w:fill="auto"/>
          <w:lang w:val="en-US" w:eastAsia="zh-CN"/>
        </w:rPr>
        <w:t>7）</w:t>
      </w:r>
      <w:r>
        <w:rPr>
          <w:rFonts w:hint="eastAsia" w:ascii="宋体" w:hAnsi="宋体" w:eastAsia="宋体" w:cs="宋体"/>
          <w:color w:val="auto"/>
          <w:sz w:val="24"/>
          <w:szCs w:val="24"/>
          <w:highlight w:val="none"/>
          <w:shd w:val="clear" w:color="auto" w:fill="auto"/>
        </w:rPr>
        <w:t>宣布开标会议结束，所有</w:t>
      </w:r>
      <w:r>
        <w:rPr>
          <w:rFonts w:hint="eastAsia" w:ascii="宋体" w:hAnsi="宋体" w:eastAsia="宋体" w:cs="宋体"/>
          <w:color w:val="auto"/>
          <w:sz w:val="24"/>
          <w:szCs w:val="24"/>
          <w:highlight w:val="none"/>
          <w:shd w:val="clear" w:color="auto" w:fill="auto"/>
          <w:lang w:val="zh-CN"/>
        </w:rPr>
        <w:t>供应商</w:t>
      </w:r>
      <w:r>
        <w:rPr>
          <w:rFonts w:hint="eastAsia" w:ascii="宋体" w:hAnsi="宋体" w:eastAsia="宋体" w:cs="宋体"/>
          <w:color w:val="auto"/>
          <w:sz w:val="24"/>
          <w:szCs w:val="24"/>
          <w:highlight w:val="none"/>
          <w:shd w:val="clear" w:color="auto" w:fill="auto"/>
        </w:rPr>
        <w:t>离场。</w:t>
      </w:r>
    </w:p>
    <w:p w14:paraId="56B69AD5">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shd w:val="clear" w:color="auto" w:fill="auto"/>
          <w:lang w:val="en-US" w:eastAsia="zh-CN"/>
        </w:rPr>
        <w:t>8</w:t>
      </w:r>
      <w:r>
        <w:rPr>
          <w:rFonts w:hint="eastAsia" w:ascii="宋体" w:hAnsi="宋体" w:eastAsia="宋体" w:cs="宋体"/>
          <w:color w:val="auto"/>
          <w:sz w:val="24"/>
          <w:szCs w:val="24"/>
          <w:highlight w:val="none"/>
          <w:shd w:val="clear" w:color="auto" w:fill="auto"/>
        </w:rPr>
        <w:t>）采购代理机构对开标、评标过程进行摄像，并存档备查。</w:t>
      </w:r>
    </w:p>
    <w:p w14:paraId="356B622C">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2、评标</w:t>
      </w:r>
    </w:p>
    <w:p w14:paraId="4EBFEB75">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2.1</w:t>
      </w:r>
      <w:r>
        <w:rPr>
          <w:rFonts w:hint="eastAsia" w:ascii="宋体" w:hAnsi="宋体" w:eastAsia="宋体" w:cs="宋体"/>
          <w:bCs/>
          <w:color w:val="auto"/>
          <w:sz w:val="24"/>
          <w:szCs w:val="24"/>
          <w:highlight w:val="none"/>
          <w:shd w:val="clear" w:color="auto" w:fill="auto"/>
        </w:rPr>
        <w:t>评标委员会</w:t>
      </w:r>
    </w:p>
    <w:p w14:paraId="77CFF480">
      <w:pPr>
        <w:spacing w:line="56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采购代理机构根据《中华人民共和国政府采购法》、《中华人民共和国政府采购法实施条例》和《中华人民共和国财政部第87号令》的规定，依法组建评标委员会。评标委员会由采购人代表及有关专家组成，其中技术、经济等方面的专家不少于评委总数的三分之二。评标委员会专家成员在政府采购专家库中随机抽取。采购人派</w:t>
      </w:r>
      <w:r>
        <w:rPr>
          <w:rFonts w:hint="eastAsia" w:ascii="宋体" w:hAnsi="宋体" w:eastAsia="宋体" w:cs="宋体"/>
          <w:color w:val="auto"/>
          <w:sz w:val="24"/>
          <w:szCs w:val="24"/>
          <w:highlight w:val="none"/>
          <w:shd w:val="clear" w:color="auto" w:fill="auto"/>
          <w:lang w:val="en-US" w:eastAsia="zh-CN"/>
        </w:rPr>
        <w:t>一</w:t>
      </w:r>
      <w:r>
        <w:rPr>
          <w:rFonts w:hint="eastAsia" w:ascii="宋体" w:hAnsi="宋体" w:eastAsia="宋体" w:cs="宋体"/>
          <w:color w:val="auto"/>
          <w:sz w:val="24"/>
          <w:szCs w:val="24"/>
          <w:highlight w:val="none"/>
          <w:shd w:val="clear" w:color="auto" w:fill="auto"/>
        </w:rPr>
        <w:t>名代表进入评标委员会，并向采购代理机构出具授权函。评标委员会负责对具备实质性响应的投标文件进行评估和比较。</w:t>
      </w:r>
    </w:p>
    <w:p w14:paraId="182017CF">
      <w:pPr>
        <w:spacing w:line="560" w:lineRule="exac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（2）评标委员会应推荐一名评审专家担任评审组长，并由评审组长牵头组织该项目评审工作，采购人授权的评审专家，不得担任评审组长。</w:t>
      </w:r>
    </w:p>
    <w:p w14:paraId="502BBE0F">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（3）评标委员会成员应当遵守并履行下列职责义务：</w:t>
      </w:r>
    </w:p>
    <w:p w14:paraId="44E2D1CC">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a、遵纪守法，客观、公正、认真负责地履行职责，根据招标文件规定的评标程序、评标方法和评标标准审查投标文件是否符合招标文件的要求，并做出评价；</w:t>
      </w:r>
    </w:p>
    <w:p w14:paraId="7288061B">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b</w:t>
      </w:r>
      <w:r>
        <w:rPr>
          <w:rFonts w:hint="eastAsia" w:ascii="宋体" w:hAnsi="宋体" w:eastAsia="宋体" w:cs="宋体"/>
          <w:color w:val="auto"/>
          <w:sz w:val="24"/>
          <w:szCs w:val="24"/>
          <w:highlight w:val="none"/>
          <w:shd w:val="clear" w:color="auto" w:fill="auto"/>
        </w:rPr>
        <w:t>、评标委员会可要求</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就投标文件中含义不明确的内容进行书面说明并提供相关材料。</w:t>
      </w:r>
    </w:p>
    <w:p w14:paraId="708B14C4">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c</w:t>
      </w:r>
      <w:r>
        <w:rPr>
          <w:rFonts w:hint="eastAsia" w:ascii="宋体" w:hAnsi="宋体" w:eastAsia="宋体" w:cs="宋体"/>
          <w:color w:val="auto"/>
          <w:sz w:val="24"/>
          <w:szCs w:val="24"/>
          <w:highlight w:val="none"/>
          <w:shd w:val="clear" w:color="auto" w:fill="auto"/>
        </w:rPr>
        <w:t>、依据招标文件的要求和评审标准进行评审，推荐中标候选人名单，对评标意见承担个人责任；</w:t>
      </w:r>
    </w:p>
    <w:p w14:paraId="6970BB43">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d</w:t>
      </w:r>
      <w:r>
        <w:rPr>
          <w:rFonts w:hint="eastAsia" w:ascii="宋体" w:hAnsi="宋体" w:eastAsia="宋体" w:cs="宋体"/>
          <w:color w:val="auto"/>
          <w:sz w:val="24"/>
          <w:szCs w:val="24"/>
          <w:highlight w:val="none"/>
          <w:shd w:val="clear" w:color="auto" w:fill="auto"/>
        </w:rPr>
        <w:t>、对评标过程及各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的商业机密予以保密；</w:t>
      </w:r>
    </w:p>
    <w:p w14:paraId="3CDE7104">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e</w:t>
      </w:r>
      <w:r>
        <w:rPr>
          <w:rFonts w:hint="eastAsia" w:ascii="宋体" w:hAnsi="宋体" w:eastAsia="宋体" w:cs="宋体"/>
          <w:color w:val="auto"/>
          <w:sz w:val="24"/>
          <w:szCs w:val="24"/>
          <w:highlight w:val="none"/>
          <w:shd w:val="clear" w:color="auto" w:fill="auto"/>
        </w:rPr>
        <w:t>、拟定评标结果；</w:t>
      </w:r>
    </w:p>
    <w:p w14:paraId="70FD8AD5">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f</w:t>
      </w:r>
      <w:r>
        <w:rPr>
          <w:rFonts w:hint="eastAsia" w:ascii="宋体" w:hAnsi="宋体" w:eastAsia="宋体" w:cs="宋体"/>
          <w:color w:val="auto"/>
          <w:sz w:val="24"/>
          <w:szCs w:val="24"/>
          <w:highlight w:val="none"/>
          <w:shd w:val="clear" w:color="auto" w:fill="auto"/>
        </w:rPr>
        <w:t>、向监管部门报告在评标过程中发现的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的违法违规行为；</w:t>
      </w:r>
    </w:p>
    <w:p w14:paraId="4A198C66">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g</w:t>
      </w:r>
      <w:r>
        <w:rPr>
          <w:rFonts w:hint="eastAsia" w:ascii="宋体" w:hAnsi="宋体" w:eastAsia="宋体" w:cs="宋体"/>
          <w:color w:val="auto"/>
          <w:sz w:val="24"/>
          <w:szCs w:val="24"/>
          <w:highlight w:val="none"/>
          <w:shd w:val="clear" w:color="auto" w:fill="auto"/>
        </w:rPr>
        <w:t>、配合采购人、采购代理机构答复各</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提出的异议；</w:t>
      </w:r>
    </w:p>
    <w:p w14:paraId="5F2E1A83">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h</w:t>
      </w:r>
      <w:r>
        <w:rPr>
          <w:rFonts w:hint="eastAsia" w:ascii="宋体" w:hAnsi="宋体" w:eastAsia="宋体" w:cs="宋体"/>
          <w:color w:val="auto"/>
          <w:sz w:val="24"/>
          <w:szCs w:val="24"/>
          <w:highlight w:val="none"/>
          <w:shd w:val="clear" w:color="auto" w:fill="auto"/>
        </w:rPr>
        <w:t>、配合各部门的投诉处理和监督检查工作。</w:t>
      </w:r>
    </w:p>
    <w:p w14:paraId="679DF941">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2.2评标委员会有下列情形之一的，应当主动提出回避：</w:t>
      </w:r>
    </w:p>
    <w:p w14:paraId="71C6A071">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a、</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或</w:t>
      </w:r>
      <w:r>
        <w:rPr>
          <w:rFonts w:hint="eastAsia" w:ascii="宋体" w:hAnsi="宋体" w:eastAsia="宋体" w:cs="宋体"/>
          <w:color w:val="auto"/>
          <w:sz w:val="24"/>
          <w:szCs w:val="24"/>
          <w:highlight w:val="none"/>
          <w:shd w:val="clear" w:color="auto" w:fill="auto"/>
          <w:lang w:eastAsia="zh-CN"/>
        </w:rPr>
        <w:t>其</w:t>
      </w:r>
      <w:r>
        <w:rPr>
          <w:rFonts w:hint="eastAsia" w:ascii="宋体" w:hAnsi="宋体" w:eastAsia="宋体" w:cs="宋体"/>
          <w:color w:val="auto"/>
          <w:sz w:val="24"/>
          <w:szCs w:val="24"/>
          <w:highlight w:val="none"/>
          <w:shd w:val="clear" w:color="auto" w:fill="auto"/>
        </w:rPr>
        <w:t>主要负责人的近亲属；</w:t>
      </w:r>
    </w:p>
    <w:p w14:paraId="01B6730D">
      <w:pPr>
        <w:spacing w:line="520" w:lineRule="exact"/>
        <w:ind w:firstLine="480" w:firstLineChars="200"/>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b、项目主管部门或者行政监督部门的人员；</w:t>
      </w:r>
    </w:p>
    <w:p w14:paraId="5215A392">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c、与</w:t>
      </w:r>
      <w:r>
        <w:rPr>
          <w:rFonts w:hint="eastAsia" w:ascii="宋体" w:hAnsi="宋体" w:eastAsia="宋体" w:cs="宋体"/>
          <w:color w:val="auto"/>
          <w:sz w:val="24"/>
          <w:szCs w:val="24"/>
          <w:highlight w:val="none"/>
          <w:shd w:val="clear" w:color="auto" w:fill="auto"/>
          <w:lang w:eastAsia="zh-CN"/>
        </w:rPr>
        <w:t>供应商</w:t>
      </w:r>
      <w:r>
        <w:rPr>
          <w:rFonts w:hint="eastAsia" w:ascii="宋体" w:hAnsi="宋体" w:eastAsia="宋体" w:cs="宋体"/>
          <w:color w:val="auto"/>
          <w:sz w:val="24"/>
          <w:szCs w:val="24"/>
          <w:highlight w:val="none"/>
          <w:shd w:val="clear" w:color="auto" w:fill="auto"/>
        </w:rPr>
        <w:t>有经济利益关系，可能影响对投标公正评审的；</w:t>
      </w:r>
    </w:p>
    <w:p w14:paraId="1074FC25">
      <w:pPr>
        <w:spacing w:line="52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d、曾因在招标、评标以及其他与招标投标有关活动中从事违法行为而受过行政处罚或刑事处罚的。</w:t>
      </w:r>
    </w:p>
    <w:p w14:paraId="3A86397B">
      <w:pPr>
        <w:spacing w:line="500" w:lineRule="exact"/>
        <w:ind w:firstLine="482" w:firstLineChars="200"/>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2.3评标原则</w:t>
      </w:r>
    </w:p>
    <w:p w14:paraId="2C937AC4">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坚持公平、公正、科学、择优，合理低价，禁止不正当竞争。</w:t>
      </w:r>
    </w:p>
    <w:p w14:paraId="520E2889">
      <w:pPr>
        <w:spacing w:line="500" w:lineRule="exact"/>
        <w:ind w:firstLine="482"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2.4评标办法</w:t>
      </w:r>
    </w:p>
    <w:p w14:paraId="7A978C32">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本次招标采用综合评分法（详见评分标准）。</w:t>
      </w:r>
    </w:p>
    <w:p w14:paraId="15909F27">
      <w:pPr>
        <w:spacing w:line="500" w:lineRule="exact"/>
        <w:ind w:firstLine="482" w:firstLineChars="200"/>
        <w:rPr>
          <w:rFonts w:hint="eastAsia" w:ascii="宋体" w:hAnsi="宋体" w:eastAsia="宋体" w:cs="宋体"/>
          <w:b/>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3、</w:t>
      </w:r>
      <w:r>
        <w:rPr>
          <w:rFonts w:hint="eastAsia" w:ascii="宋体" w:hAnsi="宋体" w:eastAsia="宋体" w:cs="宋体"/>
          <w:b/>
          <w:bCs/>
          <w:color w:val="auto"/>
          <w:sz w:val="24"/>
          <w:szCs w:val="24"/>
          <w:highlight w:val="none"/>
          <w:shd w:val="clear" w:color="auto" w:fill="auto"/>
        </w:rPr>
        <w:t>定标</w:t>
      </w:r>
    </w:p>
    <w:p w14:paraId="4EC82585">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3.1定标程序</w:t>
      </w:r>
    </w:p>
    <w:p w14:paraId="08FCD3DE">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（1）评标委员会依据评标办法，经过初审、澄清、比较与评价等程序后，在最大限度满足招标文件实质性要求前提下进行综合评审，以评标总得分最高到低的顺序推荐3名中标候选人，并编写评标报告。</w:t>
      </w:r>
    </w:p>
    <w:p w14:paraId="37B9A0D1">
      <w:pPr>
        <w:spacing w:line="500" w:lineRule="exac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 xml:space="preserve">    （2）</w:t>
      </w:r>
      <w:bookmarkStart w:id="59" w:name="OLE_LINK18"/>
      <w:r>
        <w:rPr>
          <w:rFonts w:hint="eastAsia" w:ascii="宋体" w:hAnsi="宋体" w:eastAsia="宋体" w:cs="宋体"/>
          <w:color w:val="auto"/>
          <w:sz w:val="24"/>
          <w:szCs w:val="24"/>
          <w:highlight w:val="none"/>
          <w:shd w:val="clear" w:color="auto" w:fill="auto"/>
        </w:rPr>
        <w:t>评标委员会成员应当在评标报告上签字，对自己的评审意见承担法律责任。评标报告应当由评标委员会全体成员签字。对评标结果有不同意见的评标委员会成员应当以书面形式说明其不同意见和理由，评标报告应当注明该不同意见。评标委员会成员拒绝在评标报告上签字又不书面说明其不同意见和理由的，视为同意评标结果。</w:t>
      </w:r>
    </w:p>
    <w:p w14:paraId="14134E1B">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w:t>
      </w:r>
      <w:bookmarkEnd w:id="59"/>
      <w:r>
        <w:rPr>
          <w:rFonts w:hint="eastAsia" w:ascii="宋体" w:hAnsi="宋体" w:eastAsia="宋体" w:cs="宋体"/>
          <w:color w:val="auto"/>
          <w:sz w:val="24"/>
          <w:szCs w:val="24"/>
          <w:highlight w:val="none"/>
          <w:shd w:val="clear" w:color="auto" w:fill="auto"/>
        </w:rPr>
        <w:t>采购代理机构应当自评审结束之日起2个工作日内将评标报告送交采购人，采购人应当自收到评标报告5个工作日内，从评审报推荐的中标候选人中，以评标总分最高的供应商作为中标供应商，向采购代理机构出具《中标复函》；采购人逾期未确定中标单位且不提出异议的，视为确定评标报告推荐的评标得分最高的供应商为中标供应商。</w:t>
      </w:r>
    </w:p>
    <w:p w14:paraId="2CE9B62A">
      <w:pPr>
        <w:adjustRightInd w:val="0"/>
        <w:snapToGrid w:val="0"/>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采购代理机构应当自中标、成交供应商确定之日起2个工作日内，将中标结果在陕西省政府采购网上进行公告。公告发布1个工作日，同时采购代理机构向中标单位发出中标通知书。其他供应商若有异议，按《中华人民共和国招标投标法》、</w:t>
      </w:r>
      <w:bookmarkStart w:id="60" w:name="OLE_LINK3"/>
      <w:r>
        <w:rPr>
          <w:rFonts w:hint="eastAsia" w:ascii="宋体" w:hAnsi="宋体" w:eastAsia="宋体" w:cs="宋体"/>
          <w:color w:val="auto"/>
          <w:sz w:val="24"/>
          <w:szCs w:val="24"/>
          <w:highlight w:val="none"/>
          <w:shd w:val="clear" w:color="auto" w:fill="auto"/>
        </w:rPr>
        <w:t>中华人民共和国财政部令第94号--政府采购质疑和投诉办法有关规定执行</w:t>
      </w:r>
      <w:bookmarkEnd w:id="60"/>
      <w:r>
        <w:rPr>
          <w:rFonts w:hint="eastAsia" w:ascii="宋体" w:hAnsi="宋体" w:eastAsia="宋体" w:cs="宋体"/>
          <w:color w:val="auto"/>
          <w:sz w:val="24"/>
          <w:szCs w:val="24"/>
          <w:highlight w:val="none"/>
          <w:shd w:val="clear" w:color="auto" w:fill="auto"/>
        </w:rPr>
        <w:t>。</w:t>
      </w:r>
    </w:p>
    <w:p w14:paraId="4FEC6848">
      <w:pPr>
        <w:spacing w:line="48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3.2中标供应商确定后，采购人和采购代理机构对未中标原因不作任何解释，投标文件不予退还（含纸质及电子版文件）。</w:t>
      </w:r>
    </w:p>
    <w:p w14:paraId="2DA9D4C8">
      <w:pPr>
        <w:spacing w:line="480" w:lineRule="exact"/>
        <w:ind w:firstLine="482"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4、中标通知书</w:t>
      </w:r>
    </w:p>
    <w:p w14:paraId="62385475">
      <w:pPr>
        <w:tabs>
          <w:tab w:val="left" w:pos="2700"/>
        </w:tabs>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4.1中标供应商应在接到采购代理机构通知</w:t>
      </w:r>
      <w:r>
        <w:rPr>
          <w:rFonts w:hint="eastAsia" w:ascii="宋体" w:hAnsi="宋体" w:eastAsia="宋体" w:cs="宋体"/>
          <w:color w:val="auto"/>
          <w:sz w:val="24"/>
          <w:szCs w:val="24"/>
          <w:highlight w:val="none"/>
          <w:shd w:val="clear" w:color="auto" w:fill="auto"/>
          <w:lang w:eastAsia="zh-CN"/>
        </w:rPr>
        <w:t>，及时</w:t>
      </w:r>
      <w:r>
        <w:rPr>
          <w:rFonts w:hint="eastAsia" w:ascii="宋体" w:hAnsi="宋体" w:eastAsia="宋体" w:cs="宋体"/>
          <w:color w:val="auto"/>
          <w:sz w:val="24"/>
          <w:szCs w:val="24"/>
          <w:highlight w:val="none"/>
          <w:shd w:val="clear" w:color="auto" w:fill="auto"/>
        </w:rPr>
        <w:t>领取中标通知书。</w:t>
      </w:r>
    </w:p>
    <w:p w14:paraId="22210DAA">
      <w:pPr>
        <w:pStyle w:val="4"/>
        <w:spacing w:before="0" w:after="0" w:line="700" w:lineRule="exact"/>
        <w:rPr>
          <w:rFonts w:hint="eastAsia" w:ascii="宋体" w:hAnsi="宋体" w:eastAsia="宋体" w:cs="宋体"/>
          <w:color w:val="auto"/>
          <w:sz w:val="24"/>
          <w:szCs w:val="24"/>
          <w:highlight w:val="none"/>
          <w:shd w:val="clear" w:color="auto" w:fill="auto"/>
        </w:rPr>
      </w:pPr>
      <w:bookmarkStart w:id="61" w:name="_Toc5520"/>
      <w:bookmarkStart w:id="62" w:name="_Toc459049727"/>
      <w:bookmarkStart w:id="63" w:name="_Toc16833"/>
      <w:bookmarkStart w:id="64" w:name="_Toc459049896"/>
      <w:bookmarkStart w:id="65" w:name="_Toc19486"/>
      <w:bookmarkStart w:id="66" w:name="_Toc11470"/>
      <w:r>
        <w:rPr>
          <w:rFonts w:hint="eastAsia" w:ascii="宋体" w:hAnsi="宋体" w:eastAsia="宋体" w:cs="宋体"/>
          <w:color w:val="auto"/>
          <w:sz w:val="24"/>
          <w:szCs w:val="24"/>
          <w:highlight w:val="none"/>
          <w:shd w:val="clear" w:color="auto" w:fill="auto"/>
        </w:rPr>
        <w:t>八、合同</w:t>
      </w:r>
      <w:bookmarkEnd w:id="61"/>
      <w:bookmarkEnd w:id="62"/>
      <w:bookmarkEnd w:id="63"/>
      <w:bookmarkEnd w:id="64"/>
      <w:bookmarkEnd w:id="65"/>
      <w:bookmarkEnd w:id="66"/>
    </w:p>
    <w:p w14:paraId="7E299B80">
      <w:pPr>
        <w:spacing w:line="500" w:lineRule="exact"/>
        <w:ind w:firstLine="480" w:firstLineChars="200"/>
        <w:rPr>
          <w:rFonts w:hint="eastAsia" w:ascii="宋体" w:hAnsi="宋体" w:eastAsia="宋体" w:cs="宋体"/>
          <w:color w:val="auto"/>
          <w:spacing w:val="-2"/>
          <w:sz w:val="24"/>
          <w:szCs w:val="24"/>
          <w:highlight w:val="none"/>
          <w:shd w:val="clear" w:color="auto" w:fill="auto"/>
        </w:rPr>
      </w:pPr>
      <w:r>
        <w:rPr>
          <w:rFonts w:hint="eastAsia" w:ascii="宋体" w:hAnsi="宋体" w:eastAsia="宋体" w:cs="宋体"/>
          <w:color w:val="auto"/>
          <w:sz w:val="24"/>
          <w:szCs w:val="24"/>
          <w:highlight w:val="none"/>
          <w:shd w:val="clear" w:color="auto" w:fill="auto"/>
        </w:rPr>
        <w:t>1、</w:t>
      </w:r>
      <w:r>
        <w:rPr>
          <w:rFonts w:hint="eastAsia" w:ascii="宋体" w:hAnsi="宋体" w:eastAsia="宋体" w:cs="宋体"/>
          <w:color w:val="auto"/>
          <w:spacing w:val="-2"/>
          <w:sz w:val="24"/>
          <w:szCs w:val="24"/>
          <w:highlight w:val="none"/>
          <w:shd w:val="clear" w:color="auto" w:fill="auto"/>
        </w:rPr>
        <w:t>中标供应商在收到中标通知书后三十（30）个日历日内，应按招标文件的要求与采购人签订合同。中标供应商因自身原因不按规定与采购人签订服务合同</w:t>
      </w:r>
      <w:r>
        <w:rPr>
          <w:rFonts w:hint="eastAsia" w:ascii="宋体" w:hAnsi="宋体" w:eastAsia="宋体" w:cs="宋体"/>
          <w:color w:val="auto"/>
          <w:sz w:val="24"/>
          <w:szCs w:val="24"/>
          <w:highlight w:val="none"/>
          <w:shd w:val="clear" w:color="auto" w:fill="auto"/>
        </w:rPr>
        <w:t>或者拒绝与采购人签订合同的</w:t>
      </w:r>
      <w:r>
        <w:rPr>
          <w:rFonts w:hint="eastAsia" w:ascii="宋体" w:hAnsi="宋体" w:eastAsia="宋体" w:cs="宋体"/>
          <w:color w:val="auto"/>
          <w:spacing w:val="-2"/>
          <w:sz w:val="24"/>
          <w:szCs w:val="24"/>
          <w:highlight w:val="none"/>
          <w:shd w:val="clear" w:color="auto" w:fill="auto"/>
        </w:rPr>
        <w:t>，则采购人将废除授标。给采购人造成损失的，还应当对其予以赔偿，并依法承担相应法律责任；</w:t>
      </w:r>
    </w:p>
    <w:p w14:paraId="2A907C8B">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中标供应商因不可抗力或者自身原因不能履行采购合同的，采购人可以与排位在中标供应商之后第一位的中标候选供应商签订采购合同，以此类推，也可以重新开展招标活动。拒绝签订采购合同的中标供应商不得参加对该项目重新开展的招标活动。</w:t>
      </w:r>
    </w:p>
    <w:p w14:paraId="2A2DD353">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3、中标通知书将是合同的重要组成部分。招标文件、中标供应商的投标文件及评议过程中有关的澄清文件均作为合同附件。</w:t>
      </w:r>
    </w:p>
    <w:p w14:paraId="6C18978F">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w:t>
      </w:r>
      <w:bookmarkStart w:id="67" w:name="_Toc459049728"/>
      <w:bookmarkStart w:id="68" w:name="_Toc459049897"/>
      <w:r>
        <w:rPr>
          <w:rFonts w:hint="eastAsia" w:ascii="宋体" w:hAnsi="宋体" w:eastAsia="宋体" w:cs="宋体"/>
          <w:color w:val="auto"/>
          <w:sz w:val="24"/>
          <w:szCs w:val="24"/>
          <w:highlight w:val="none"/>
          <w:shd w:val="clear" w:color="auto" w:fill="auto"/>
        </w:rPr>
        <w:t>中标后，中标供应商应按照合同约定履行义务，完成招标项目的供货，经采购人同意，中标供应商可以依法采取分包方式履行合同。分包部分为中标项目的部分非主体、非关键性工作。接受分包的供应商应当具备相应的资格条件，并不得再次分包。分包履行的，中标供应商就采购项目和分包项目向采购人负责，分包供应商就分包项目承担责任。</w:t>
      </w:r>
    </w:p>
    <w:p w14:paraId="2506F789">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5、采购人需要向原中标供应商采购服务，否则将影响工作或者功能配套要求的，可以不进行招标。</w:t>
      </w:r>
    </w:p>
    <w:bookmarkEnd w:id="67"/>
    <w:bookmarkEnd w:id="68"/>
    <w:p w14:paraId="21791EC3">
      <w:pPr>
        <w:pStyle w:val="4"/>
        <w:spacing w:before="0" w:after="0" w:line="500" w:lineRule="exact"/>
        <w:rPr>
          <w:rFonts w:hint="eastAsia" w:ascii="宋体" w:hAnsi="宋体" w:eastAsia="宋体" w:cs="宋体"/>
          <w:color w:val="auto"/>
          <w:sz w:val="24"/>
          <w:szCs w:val="24"/>
          <w:highlight w:val="none"/>
          <w:shd w:val="clear" w:color="auto" w:fill="auto"/>
        </w:rPr>
      </w:pPr>
      <w:bookmarkStart w:id="69" w:name="_Toc458617740"/>
      <w:bookmarkStart w:id="70" w:name="_Toc30692"/>
      <w:bookmarkStart w:id="71" w:name="_Toc24982"/>
      <w:bookmarkStart w:id="72" w:name="_Toc26077"/>
      <w:bookmarkStart w:id="73" w:name="_Toc458617463"/>
      <w:bookmarkStart w:id="74" w:name="_Toc25556"/>
      <w:bookmarkStart w:id="75" w:name="_Toc5061"/>
      <w:bookmarkStart w:id="76" w:name="_Toc458617742"/>
      <w:bookmarkStart w:id="77" w:name="_Toc458617465"/>
      <w:bookmarkStart w:id="78" w:name="_Toc459049730"/>
      <w:bookmarkStart w:id="79" w:name="_Toc458617793"/>
      <w:bookmarkStart w:id="80" w:name="_Toc459049899"/>
      <w:r>
        <w:rPr>
          <w:rFonts w:hint="eastAsia" w:ascii="宋体" w:hAnsi="宋体" w:eastAsia="宋体" w:cs="宋体"/>
          <w:color w:val="auto"/>
          <w:sz w:val="24"/>
          <w:szCs w:val="24"/>
          <w:highlight w:val="none"/>
          <w:shd w:val="clear" w:color="auto" w:fill="auto"/>
        </w:rPr>
        <w:t>九、招标代理服务费</w:t>
      </w:r>
      <w:bookmarkEnd w:id="69"/>
      <w:bookmarkEnd w:id="70"/>
      <w:bookmarkEnd w:id="71"/>
      <w:bookmarkEnd w:id="72"/>
      <w:bookmarkEnd w:id="73"/>
      <w:bookmarkEnd w:id="74"/>
      <w:bookmarkEnd w:id="75"/>
    </w:p>
    <w:p w14:paraId="3A2EB11E">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w:t>
      </w:r>
      <w:bookmarkStart w:id="81" w:name="_Toc193126874"/>
      <w:bookmarkStart w:id="82" w:name="_Toc194663910"/>
      <w:bookmarkStart w:id="83" w:name="_Toc188808820"/>
      <w:bookmarkStart w:id="84" w:name="_Toc193187089"/>
      <w:r>
        <w:rPr>
          <w:rFonts w:hint="eastAsia" w:ascii="宋体" w:hAnsi="宋体" w:eastAsia="宋体" w:cs="宋体"/>
          <w:b w:val="0"/>
          <w:bCs/>
          <w:color w:val="000000"/>
          <w:sz w:val="24"/>
          <w:szCs w:val="24"/>
          <w:highlight w:val="none"/>
          <w:lang w:val="en-US" w:eastAsia="zh-CN"/>
        </w:rPr>
        <w:t>以中标金额为基数，参照国家计委颁布的《招标代理服务收费管理暂行办法》（计价格【2002】1980号）、发改办价格【2003】857号及发改价格【2011】534号</w:t>
      </w:r>
      <w:r>
        <w:rPr>
          <w:rFonts w:hint="eastAsia" w:ascii="宋体" w:hAnsi="宋体" w:eastAsia="宋体" w:cs="宋体"/>
          <w:color w:val="auto"/>
          <w:sz w:val="24"/>
          <w:szCs w:val="24"/>
          <w:highlight w:val="none"/>
          <w:lang w:val="en-US" w:eastAsia="zh-CN"/>
        </w:rPr>
        <w:t>等文件规定的收费标准</w:t>
      </w:r>
      <w:r>
        <w:rPr>
          <w:rFonts w:hint="eastAsia" w:ascii="宋体" w:hAnsi="宋体" w:eastAsia="宋体" w:cs="宋体"/>
          <w:color w:val="000000"/>
          <w:sz w:val="24"/>
          <w:szCs w:val="24"/>
          <w:highlight w:val="none"/>
        </w:rPr>
        <w:t>计取该项目的招标代理服务费，由中标人在领取中标通知书</w:t>
      </w:r>
      <w:r>
        <w:rPr>
          <w:rFonts w:hint="eastAsia" w:ascii="宋体" w:hAnsi="宋体" w:eastAsia="宋体" w:cs="宋体"/>
          <w:color w:val="000000"/>
          <w:sz w:val="24"/>
          <w:szCs w:val="24"/>
          <w:highlight w:val="none"/>
          <w:lang w:val="en-US" w:eastAsia="zh-CN"/>
        </w:rPr>
        <w:t>前</w:t>
      </w:r>
      <w:r>
        <w:rPr>
          <w:rFonts w:hint="eastAsia" w:ascii="宋体" w:hAnsi="宋体" w:eastAsia="宋体" w:cs="宋体"/>
          <w:color w:val="000000"/>
          <w:sz w:val="24"/>
          <w:szCs w:val="24"/>
          <w:highlight w:val="none"/>
        </w:rPr>
        <w:t>向采购代理机构一次性支付</w:t>
      </w:r>
      <w:r>
        <w:rPr>
          <w:rFonts w:hint="eastAsia" w:ascii="宋体" w:hAnsi="宋体" w:eastAsia="宋体" w:cs="宋体"/>
          <w:color w:val="auto"/>
          <w:sz w:val="24"/>
          <w:szCs w:val="24"/>
          <w:highlight w:val="none"/>
          <w:shd w:val="clear" w:color="auto" w:fill="auto"/>
        </w:rPr>
        <w:t>。</w:t>
      </w:r>
    </w:p>
    <w:p w14:paraId="3FCCAD6F">
      <w:pPr>
        <w:pStyle w:val="4"/>
        <w:spacing w:before="0" w:after="0" w:line="500" w:lineRule="exact"/>
        <w:rPr>
          <w:rFonts w:hint="eastAsia" w:ascii="宋体" w:hAnsi="宋体" w:eastAsia="宋体" w:cs="宋体"/>
          <w:color w:val="auto"/>
          <w:sz w:val="24"/>
          <w:szCs w:val="24"/>
          <w:highlight w:val="none"/>
          <w:shd w:val="clear" w:color="auto" w:fill="auto"/>
        </w:rPr>
      </w:pPr>
      <w:bookmarkStart w:id="85" w:name="_Toc1934"/>
      <w:bookmarkStart w:id="86" w:name="_Toc458617464"/>
      <w:bookmarkStart w:id="87" w:name="_Toc21804"/>
      <w:bookmarkStart w:id="88" w:name="_Toc12624"/>
      <w:bookmarkStart w:id="89" w:name="_Toc25885"/>
      <w:bookmarkStart w:id="90" w:name="_Toc458617741"/>
      <w:bookmarkStart w:id="91" w:name="_Toc8412"/>
      <w:r>
        <w:rPr>
          <w:rFonts w:hint="eastAsia" w:ascii="宋体" w:hAnsi="宋体" w:eastAsia="宋体" w:cs="宋体"/>
          <w:color w:val="auto"/>
          <w:sz w:val="24"/>
          <w:szCs w:val="24"/>
          <w:highlight w:val="none"/>
          <w:shd w:val="clear" w:color="auto" w:fill="auto"/>
        </w:rPr>
        <w:t>十、变更采购方式</w:t>
      </w:r>
      <w:bookmarkEnd w:id="81"/>
      <w:bookmarkEnd w:id="82"/>
      <w:bookmarkEnd w:id="83"/>
      <w:bookmarkEnd w:id="84"/>
      <w:bookmarkEnd w:id="85"/>
      <w:bookmarkEnd w:id="86"/>
      <w:bookmarkEnd w:id="87"/>
      <w:bookmarkEnd w:id="88"/>
      <w:bookmarkEnd w:id="89"/>
      <w:bookmarkEnd w:id="90"/>
      <w:bookmarkEnd w:id="91"/>
    </w:p>
    <w:p w14:paraId="2D283725">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1、如果发生下列情况之一，采购人和采购代理机构将按《中华人民共和国政府采购法》等有关规定重新组织采购或报请监督管理机构批准变更招标方式：</w:t>
      </w:r>
    </w:p>
    <w:p w14:paraId="6D92D75D">
      <w:pPr>
        <w:spacing w:line="500" w:lineRule="exact"/>
        <w:rPr>
          <w:rFonts w:hint="eastAsia" w:ascii="宋体" w:hAnsi="宋体" w:eastAsia="宋体" w:cs="宋体"/>
          <w:color w:val="auto"/>
          <w:kern w:val="96"/>
          <w:sz w:val="24"/>
          <w:szCs w:val="24"/>
          <w:highlight w:val="none"/>
          <w:shd w:val="clear" w:color="auto" w:fill="auto"/>
        </w:rPr>
      </w:pPr>
      <w:r>
        <w:rPr>
          <w:rFonts w:hint="eastAsia" w:ascii="宋体" w:hAnsi="宋体" w:eastAsia="宋体" w:cs="宋体"/>
          <w:color w:val="auto"/>
          <w:kern w:val="96"/>
          <w:sz w:val="24"/>
          <w:szCs w:val="24"/>
          <w:highlight w:val="none"/>
          <w:shd w:val="clear" w:color="auto" w:fill="auto"/>
        </w:rPr>
        <w:t xml:space="preserve">    （1）因重大变故，采购任务取消的；</w:t>
      </w:r>
    </w:p>
    <w:p w14:paraId="7A86CA39">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kern w:val="96"/>
          <w:sz w:val="24"/>
          <w:szCs w:val="24"/>
          <w:highlight w:val="none"/>
          <w:shd w:val="clear" w:color="auto" w:fill="auto"/>
        </w:rPr>
        <w:t>（2）</w:t>
      </w:r>
      <w:r>
        <w:rPr>
          <w:rFonts w:hint="eastAsia" w:ascii="宋体" w:hAnsi="宋体" w:eastAsia="宋体" w:cs="宋体"/>
          <w:color w:val="auto"/>
          <w:sz w:val="24"/>
          <w:szCs w:val="24"/>
          <w:highlight w:val="none"/>
          <w:shd w:val="clear" w:color="auto" w:fill="auto"/>
        </w:rPr>
        <w:t>出现影响采购公正的违法、违规行为的；</w:t>
      </w:r>
    </w:p>
    <w:p w14:paraId="571B99E5">
      <w:pPr>
        <w:spacing w:line="500" w:lineRule="exact"/>
        <w:ind w:firstLine="480" w:firstLineChars="200"/>
        <w:rPr>
          <w:rFonts w:hint="eastAsia" w:ascii="宋体" w:hAnsi="宋体" w:eastAsia="宋体" w:cs="宋体"/>
          <w:color w:val="auto"/>
          <w:kern w:val="96"/>
          <w:sz w:val="24"/>
          <w:szCs w:val="24"/>
          <w:highlight w:val="none"/>
          <w:shd w:val="clear" w:color="auto" w:fill="auto"/>
        </w:rPr>
      </w:pPr>
      <w:r>
        <w:rPr>
          <w:rFonts w:hint="eastAsia" w:ascii="宋体" w:hAnsi="宋体" w:eastAsia="宋体" w:cs="宋体"/>
          <w:color w:val="auto"/>
          <w:sz w:val="24"/>
          <w:szCs w:val="24"/>
          <w:highlight w:val="none"/>
          <w:shd w:val="clear" w:color="auto" w:fill="auto"/>
        </w:rPr>
        <w:t>（3）符合专业条件的供应商或者对招标文件实质响应的供应商不足三家的；</w:t>
      </w:r>
    </w:p>
    <w:p w14:paraId="39C477B4">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（4）所有供应商的报价均超出采购预算限额，采购人不能支付的。</w:t>
      </w:r>
    </w:p>
    <w:p w14:paraId="09B4890F">
      <w:pPr>
        <w:spacing w:line="500" w:lineRule="exact"/>
        <w:ind w:firstLine="560"/>
        <w:rPr>
          <w:rFonts w:hint="eastAsia" w:ascii="宋体" w:hAnsi="宋体" w:eastAsia="宋体" w:cs="宋体"/>
          <w:color w:val="auto"/>
          <w:kern w:val="96"/>
          <w:sz w:val="24"/>
          <w:szCs w:val="24"/>
          <w:highlight w:val="none"/>
          <w:shd w:val="clear" w:color="auto" w:fill="auto"/>
        </w:rPr>
      </w:pPr>
      <w:r>
        <w:rPr>
          <w:rFonts w:hint="eastAsia" w:ascii="宋体" w:hAnsi="宋体" w:eastAsia="宋体" w:cs="宋体"/>
          <w:color w:val="auto"/>
          <w:sz w:val="24"/>
          <w:szCs w:val="24"/>
          <w:highlight w:val="none"/>
          <w:shd w:val="clear" w:color="auto" w:fill="auto"/>
        </w:rPr>
        <w:t>2、根据《陕西省财政厅关于政府采购有关问题的通知》（陕财办采资【2016】53号）的规定，若出现提交投标文件或经评审实质性响应招标文件要求的供应商只有2家时，经采购人书面请示政府采购管理机构同意，可转变为竞争性谈判。</w:t>
      </w:r>
    </w:p>
    <w:p w14:paraId="593D93E5">
      <w:pPr>
        <w:spacing w:line="500" w:lineRule="exact"/>
        <w:rPr>
          <w:rFonts w:hint="eastAsia" w:ascii="宋体" w:hAnsi="宋体" w:eastAsia="宋体" w:cs="宋体"/>
          <w:color w:val="auto"/>
          <w:kern w:val="96"/>
          <w:sz w:val="24"/>
          <w:szCs w:val="24"/>
          <w:highlight w:val="none"/>
          <w:shd w:val="clear" w:color="auto" w:fill="auto"/>
        </w:rPr>
      </w:pPr>
      <w:r>
        <w:rPr>
          <w:rFonts w:hint="eastAsia" w:ascii="宋体" w:hAnsi="宋体" w:eastAsia="宋体" w:cs="宋体"/>
          <w:color w:val="auto"/>
          <w:kern w:val="96"/>
          <w:sz w:val="24"/>
          <w:szCs w:val="24"/>
          <w:highlight w:val="none"/>
          <w:shd w:val="clear" w:color="auto" w:fill="auto"/>
        </w:rPr>
        <w:t xml:space="preserve">    （1）评标委员会自行转为谈判小组，谈判文件以招标文件为基础，若有重大变动，以书面形式通知参加谈判的全体谈判响应单位；</w:t>
      </w:r>
    </w:p>
    <w:p w14:paraId="6C98E419">
      <w:pPr>
        <w:spacing w:line="500" w:lineRule="exact"/>
        <w:ind w:firstLine="480" w:firstLineChars="200"/>
        <w:rPr>
          <w:rFonts w:hint="eastAsia" w:ascii="宋体" w:hAnsi="宋体" w:eastAsia="宋体" w:cs="宋体"/>
          <w:color w:val="auto"/>
          <w:kern w:val="96"/>
          <w:sz w:val="24"/>
          <w:szCs w:val="24"/>
          <w:highlight w:val="none"/>
          <w:shd w:val="clear" w:color="auto" w:fill="auto"/>
        </w:rPr>
      </w:pPr>
      <w:r>
        <w:rPr>
          <w:rFonts w:hint="eastAsia" w:ascii="宋体" w:hAnsi="宋体" w:eastAsia="宋体" w:cs="宋体"/>
          <w:color w:val="auto"/>
          <w:kern w:val="96"/>
          <w:sz w:val="24"/>
          <w:szCs w:val="24"/>
          <w:highlight w:val="none"/>
          <w:shd w:val="clear" w:color="auto" w:fill="auto"/>
        </w:rPr>
        <w:t>（2）在谈判过程中采取二次报价的形式，即各供应商投标文件中的报价即为第一次报价，</w:t>
      </w:r>
      <w:r>
        <w:rPr>
          <w:rFonts w:hint="eastAsia" w:ascii="宋体" w:hAnsi="宋体" w:eastAsia="宋体" w:cs="宋体"/>
          <w:color w:val="auto"/>
          <w:sz w:val="24"/>
          <w:szCs w:val="24"/>
          <w:highlight w:val="none"/>
          <w:shd w:val="clear" w:color="auto" w:fill="auto"/>
        </w:rPr>
        <w:t>根据质量和服务均能满足谈判文件实质性响应要求且最后报价最低的原则确定成交供应商。</w:t>
      </w:r>
      <w:r>
        <w:rPr>
          <w:rFonts w:hint="eastAsia" w:ascii="宋体" w:hAnsi="宋体" w:eastAsia="宋体" w:cs="宋体"/>
          <w:color w:val="auto"/>
          <w:kern w:val="96"/>
          <w:sz w:val="24"/>
          <w:szCs w:val="24"/>
          <w:highlight w:val="none"/>
          <w:shd w:val="clear" w:color="auto" w:fill="auto"/>
        </w:rPr>
        <w:t>如采购需求没有实质性变化，各供应商报价应逐次降低，本次报价超过上次报价为无效报价，出现相同报价的，可再次报价，直至产生唯一最低报价。</w:t>
      </w:r>
    </w:p>
    <w:p w14:paraId="4042B349">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3、若出现提交投标文件或经评审实质性响应招标文件要求的供应商只有1家时，按废标处理，重新开展采购活动。</w:t>
      </w:r>
    </w:p>
    <w:bookmarkEnd w:id="76"/>
    <w:bookmarkEnd w:id="77"/>
    <w:bookmarkEnd w:id="78"/>
    <w:bookmarkEnd w:id="79"/>
    <w:bookmarkEnd w:id="80"/>
    <w:p w14:paraId="66A71C29">
      <w:pPr>
        <w:pStyle w:val="4"/>
        <w:spacing w:before="0" w:after="0" w:line="500" w:lineRule="exact"/>
        <w:rPr>
          <w:rFonts w:hint="eastAsia" w:ascii="宋体" w:hAnsi="宋体" w:eastAsia="宋体" w:cs="宋体"/>
          <w:color w:val="auto"/>
          <w:sz w:val="24"/>
          <w:szCs w:val="24"/>
          <w:highlight w:val="none"/>
          <w:shd w:val="clear" w:color="auto" w:fill="auto"/>
        </w:rPr>
      </w:pPr>
      <w:bookmarkStart w:id="92" w:name="_Toc27906"/>
      <w:bookmarkStart w:id="93" w:name="_Toc23540"/>
      <w:bookmarkStart w:id="94" w:name="_Toc22636"/>
      <w:bookmarkStart w:id="95" w:name="_Toc12217"/>
      <w:bookmarkStart w:id="96" w:name="_Toc2032"/>
      <w:r>
        <w:rPr>
          <w:rFonts w:hint="eastAsia" w:ascii="宋体" w:hAnsi="宋体" w:eastAsia="宋体" w:cs="宋体"/>
          <w:color w:val="auto"/>
          <w:sz w:val="24"/>
          <w:szCs w:val="24"/>
          <w:highlight w:val="none"/>
          <w:shd w:val="clear" w:color="auto" w:fill="auto"/>
        </w:rPr>
        <w:t>十一、质疑与投诉</w:t>
      </w:r>
      <w:bookmarkEnd w:id="92"/>
      <w:bookmarkEnd w:id="93"/>
      <w:bookmarkEnd w:id="94"/>
      <w:bookmarkEnd w:id="95"/>
      <w:bookmarkEnd w:id="96"/>
    </w:p>
    <w:p w14:paraId="4DAB8977">
      <w:pPr>
        <w:spacing w:line="500" w:lineRule="exact"/>
        <w:ind w:firstLine="480" w:firstLineChars="200"/>
        <w:rPr>
          <w:rFonts w:hint="eastAsia" w:ascii="宋体" w:hAnsi="宋体" w:eastAsia="宋体" w:cs="宋体"/>
          <w:color w:val="auto"/>
          <w:sz w:val="24"/>
          <w:szCs w:val="24"/>
          <w:highlight w:val="none"/>
          <w:shd w:val="clear" w:color="auto" w:fill="auto"/>
        </w:rPr>
      </w:pPr>
      <w:bookmarkStart w:id="97" w:name="_Toc458617743"/>
      <w:bookmarkStart w:id="98" w:name="_Toc458617466"/>
      <w:bookmarkStart w:id="99" w:name="_Toc2290"/>
      <w:r>
        <w:rPr>
          <w:rFonts w:hint="eastAsia" w:ascii="宋体" w:hAnsi="宋体" w:eastAsia="宋体" w:cs="宋体"/>
          <w:color w:val="auto"/>
          <w:sz w:val="24"/>
          <w:szCs w:val="24"/>
          <w:highlight w:val="none"/>
          <w:shd w:val="clear" w:color="auto" w:fill="auto"/>
        </w:rPr>
        <w:t>1、质疑</w:t>
      </w:r>
    </w:p>
    <w:p w14:paraId="3D56169A">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供应商认为招标文件、招标过程和中标结果使自己的权益受到损害的，可以按《中华人民共和国政府采购法》第52条有关规定及《中华人民共和国财政部令第94号》规定执行。</w:t>
      </w:r>
    </w:p>
    <w:p w14:paraId="6D640B8E">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质疑须提供法定代表人授权书、质疑函、相关证明材料。</w:t>
      </w:r>
    </w:p>
    <w:p w14:paraId="004E2472">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2、投诉</w:t>
      </w:r>
    </w:p>
    <w:p w14:paraId="219099E0">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质疑供应商对采购人、采购代理机构的答复不满意或者采购人、采购代理机构未在规定的时间内作出答复的，可按《政府采购法》第55条等有关规定执行。</w:t>
      </w:r>
    </w:p>
    <w:p w14:paraId="254EDC61">
      <w:pPr>
        <w:pStyle w:val="4"/>
        <w:spacing w:before="0" w:after="0" w:line="500" w:lineRule="exact"/>
        <w:rPr>
          <w:rFonts w:hint="eastAsia" w:ascii="宋体" w:hAnsi="宋体" w:eastAsia="宋体" w:cs="宋体"/>
          <w:color w:val="auto"/>
          <w:sz w:val="24"/>
          <w:szCs w:val="24"/>
          <w:highlight w:val="none"/>
          <w:shd w:val="clear" w:color="auto" w:fill="auto"/>
        </w:rPr>
      </w:pPr>
      <w:bookmarkStart w:id="100" w:name="_Toc531"/>
      <w:bookmarkStart w:id="101" w:name="_Toc32472"/>
      <w:bookmarkStart w:id="102" w:name="_Toc8287"/>
      <w:bookmarkStart w:id="103" w:name="_Toc3115"/>
      <w:r>
        <w:rPr>
          <w:rFonts w:hint="eastAsia" w:ascii="宋体" w:hAnsi="宋体" w:eastAsia="宋体" w:cs="宋体"/>
          <w:color w:val="auto"/>
          <w:sz w:val="24"/>
          <w:szCs w:val="24"/>
          <w:highlight w:val="none"/>
          <w:shd w:val="clear" w:color="auto" w:fill="auto"/>
        </w:rPr>
        <w:t>十二、拒绝商业贿赂</w:t>
      </w:r>
      <w:bookmarkEnd w:id="97"/>
      <w:bookmarkEnd w:id="98"/>
      <w:bookmarkEnd w:id="99"/>
      <w:bookmarkEnd w:id="100"/>
      <w:bookmarkEnd w:id="101"/>
      <w:bookmarkEnd w:id="102"/>
      <w:bookmarkEnd w:id="103"/>
    </w:p>
    <w:p w14:paraId="151E9063">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1、遵照陕西省财政厅的规定，采购人、采购代理机构和评审专家在招投标活动中，都要签订相应的《拒绝政府采购领域商业贿赂承诺书》，并对违反承诺的行为承担全部责任。</w:t>
      </w:r>
    </w:p>
    <w:p w14:paraId="2D37314B">
      <w:pPr>
        <w:pStyle w:val="7"/>
        <w:rPr>
          <w:rFonts w:hint="eastAsia" w:ascii="宋体" w:hAnsi="宋体" w:eastAsia="宋体" w:cs="宋体"/>
          <w:color w:val="auto"/>
          <w:highlight w:val="none"/>
          <w:shd w:val="clear" w:color="auto" w:fill="auto"/>
        </w:rPr>
      </w:pPr>
    </w:p>
    <w:p w14:paraId="67D66475">
      <w:pPr>
        <w:rPr>
          <w:rFonts w:hint="eastAsia" w:ascii="宋体" w:hAnsi="宋体" w:eastAsia="宋体" w:cs="宋体"/>
          <w:color w:val="auto"/>
          <w:highlight w:val="none"/>
          <w:shd w:val="clear" w:color="auto" w:fill="auto"/>
        </w:rPr>
      </w:pPr>
    </w:p>
    <w:p w14:paraId="3A5DFDA3">
      <w:pPr>
        <w:pStyle w:val="5"/>
        <w:rPr>
          <w:rFonts w:hint="eastAsia" w:ascii="宋体" w:hAnsi="宋体" w:eastAsia="宋体" w:cs="宋体"/>
          <w:color w:val="auto"/>
          <w:highlight w:val="none"/>
          <w:shd w:val="clear" w:color="auto" w:fill="auto"/>
        </w:rPr>
      </w:pPr>
    </w:p>
    <w:p w14:paraId="4258E80D">
      <w:pPr>
        <w:rPr>
          <w:rFonts w:hint="eastAsia" w:ascii="宋体" w:hAnsi="宋体" w:eastAsia="宋体" w:cs="宋体"/>
          <w:color w:val="auto"/>
          <w:highlight w:val="none"/>
          <w:shd w:val="clear" w:color="auto" w:fill="auto"/>
        </w:rPr>
      </w:pPr>
    </w:p>
    <w:p w14:paraId="226CE03F">
      <w:pPr>
        <w:pStyle w:val="5"/>
        <w:rPr>
          <w:rFonts w:hint="eastAsia" w:ascii="宋体" w:hAnsi="宋体" w:eastAsia="宋体" w:cs="宋体"/>
          <w:highlight w:val="none"/>
        </w:rPr>
      </w:pPr>
    </w:p>
    <w:p w14:paraId="4974C800">
      <w:pPr>
        <w:numPr>
          <w:ilvl w:val="0"/>
          <w:numId w:val="1"/>
        </w:numPr>
        <w:jc w:val="center"/>
        <w:rPr>
          <w:rFonts w:hint="eastAsia" w:ascii="宋体" w:hAnsi="宋体" w:eastAsia="宋体" w:cs="宋体"/>
          <w:b/>
          <w:bCs/>
          <w:color w:val="auto"/>
          <w:sz w:val="32"/>
          <w:szCs w:val="32"/>
          <w:highlight w:val="none"/>
          <w:shd w:val="clear" w:color="auto" w:fill="auto"/>
          <w:lang w:val="en-US" w:eastAsia="zh-CN"/>
        </w:rPr>
      </w:pPr>
      <w:r>
        <w:rPr>
          <w:rFonts w:hint="eastAsia" w:ascii="宋体" w:hAnsi="宋体" w:eastAsia="宋体" w:cs="宋体"/>
          <w:color w:val="auto"/>
          <w:highlight w:val="none"/>
          <w:shd w:val="clear" w:color="auto" w:fill="auto"/>
        </w:rPr>
        <w:br w:type="page"/>
      </w:r>
      <w:bookmarkStart w:id="104" w:name="_Toc8439"/>
      <w:r>
        <w:rPr>
          <w:rFonts w:hint="eastAsia" w:ascii="宋体" w:hAnsi="宋体" w:eastAsia="宋体" w:cs="宋体"/>
          <w:b/>
          <w:bCs/>
          <w:color w:val="auto"/>
          <w:sz w:val="32"/>
          <w:szCs w:val="32"/>
          <w:highlight w:val="none"/>
          <w:shd w:val="clear" w:color="auto" w:fill="auto"/>
          <w:lang w:val="en-US" w:eastAsia="zh-CN"/>
        </w:rPr>
        <w:t>评标办法</w:t>
      </w:r>
      <w:bookmarkEnd w:id="104"/>
    </w:p>
    <w:p w14:paraId="2C21ECD2">
      <w:pPr>
        <w:spacing w:line="440" w:lineRule="exact"/>
        <w:jc w:val="center"/>
        <w:outlineLvl w:val="1"/>
        <w:rPr>
          <w:rFonts w:hint="eastAsia" w:ascii="宋体" w:hAnsi="宋体" w:eastAsia="宋体" w:cs="宋体"/>
          <w:b/>
          <w:color w:val="000000"/>
          <w:sz w:val="28"/>
          <w:szCs w:val="28"/>
          <w:highlight w:val="none"/>
        </w:rPr>
      </w:pPr>
      <w:bookmarkStart w:id="105" w:name="_Toc13742"/>
      <w:bookmarkStart w:id="106" w:name="_Toc8111"/>
      <w:bookmarkStart w:id="107" w:name="_Toc82445619"/>
      <w:bookmarkStart w:id="108" w:name="_Toc6448"/>
      <w:bookmarkStart w:id="109" w:name="_Toc75385976"/>
      <w:r>
        <w:rPr>
          <w:rFonts w:hint="eastAsia" w:ascii="宋体" w:hAnsi="宋体" w:eastAsia="宋体" w:cs="宋体"/>
          <w:b/>
          <w:color w:val="000000"/>
          <w:sz w:val="28"/>
          <w:szCs w:val="28"/>
          <w:highlight w:val="none"/>
        </w:rPr>
        <w:t>1.评标方法</w:t>
      </w:r>
      <w:bookmarkEnd w:id="105"/>
      <w:bookmarkEnd w:id="106"/>
      <w:bookmarkEnd w:id="107"/>
      <w:bookmarkEnd w:id="108"/>
      <w:bookmarkEnd w:id="109"/>
    </w:p>
    <w:p w14:paraId="1BF81E8B">
      <w:pPr>
        <w:spacing w:line="440" w:lineRule="exact"/>
        <w:ind w:firstLine="48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rPr>
        <w:t>按照《中华人民共和国政府采购法》、中华人民共和国2015年第658号国务院令--《中华人民共和国政府采购法实施条例》和中华人民共和国财政部2017年第87号部长令--《政府采购货物和服务招标投标管理办法》的规定，本次评标采用综合评分法，即在最大限度地满足招标文件实质性要求前提下，按照招标文件中规定的各项因素和相应的权重分值进行综合评审后，</w:t>
      </w:r>
      <w:bookmarkStart w:id="110" w:name="_Hlk55477152"/>
      <w:r>
        <w:rPr>
          <w:rFonts w:hint="eastAsia" w:ascii="宋体" w:hAnsi="宋体" w:eastAsia="宋体" w:cs="宋体"/>
          <w:color w:val="000000"/>
          <w:sz w:val="24"/>
          <w:szCs w:val="24"/>
          <w:highlight w:val="none"/>
        </w:rPr>
        <w:t>推荐以总得分前三的供应商作为中标候选人名单。</w:t>
      </w:r>
      <w:bookmarkEnd w:id="110"/>
    </w:p>
    <w:p w14:paraId="3289494C">
      <w:pPr>
        <w:spacing w:line="440" w:lineRule="exact"/>
        <w:jc w:val="center"/>
        <w:outlineLvl w:val="1"/>
        <w:rPr>
          <w:rFonts w:hint="eastAsia" w:ascii="宋体" w:hAnsi="宋体" w:eastAsia="宋体" w:cs="宋体"/>
          <w:b/>
          <w:color w:val="000000"/>
          <w:sz w:val="28"/>
          <w:szCs w:val="28"/>
          <w:highlight w:val="none"/>
        </w:rPr>
      </w:pPr>
      <w:bookmarkStart w:id="111" w:name="_Toc6021"/>
      <w:bookmarkStart w:id="112" w:name="_Toc82445620"/>
      <w:bookmarkStart w:id="113" w:name="_Toc3490"/>
      <w:bookmarkStart w:id="114" w:name="_Toc24257"/>
      <w:bookmarkStart w:id="115" w:name="_Toc75385977"/>
      <w:r>
        <w:rPr>
          <w:rFonts w:hint="eastAsia" w:ascii="宋体" w:hAnsi="宋体" w:eastAsia="宋体" w:cs="宋体"/>
          <w:b/>
          <w:color w:val="000000"/>
          <w:sz w:val="28"/>
          <w:szCs w:val="28"/>
          <w:highlight w:val="none"/>
        </w:rPr>
        <w:t>2.评标程序</w:t>
      </w:r>
      <w:bookmarkEnd w:id="111"/>
      <w:bookmarkEnd w:id="112"/>
      <w:bookmarkEnd w:id="113"/>
      <w:bookmarkEnd w:id="114"/>
      <w:bookmarkEnd w:id="115"/>
    </w:p>
    <w:p w14:paraId="53CBDD45">
      <w:pPr>
        <w:spacing w:line="440" w:lineRule="exact"/>
        <w:ind w:firstLine="472" w:firstLineChars="196"/>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2.1资格审查</w:t>
      </w:r>
    </w:p>
    <w:p w14:paraId="10105C69">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2.1.1开标结束后，由采购人</w:t>
      </w:r>
      <w:r>
        <w:rPr>
          <w:rFonts w:hint="eastAsia" w:ascii="宋体" w:hAnsi="宋体" w:eastAsia="宋体" w:cs="宋体"/>
          <w:bCs/>
          <w:color w:val="000000"/>
          <w:sz w:val="24"/>
          <w:szCs w:val="24"/>
          <w:highlight w:val="none"/>
          <w:lang w:val="en-US" w:eastAsia="zh-CN"/>
        </w:rPr>
        <w:t>或</w:t>
      </w:r>
      <w:r>
        <w:rPr>
          <w:rFonts w:hint="eastAsia" w:ascii="宋体" w:hAnsi="宋体" w:eastAsia="宋体" w:cs="宋体"/>
          <w:bCs/>
          <w:color w:val="000000"/>
          <w:sz w:val="24"/>
          <w:szCs w:val="24"/>
          <w:highlight w:val="none"/>
        </w:rPr>
        <w:t>采购代理机构依法对供应商的资格进行审查，审查合格的供应商方可进入评标阶段，不合格的供应商其投标无效。</w:t>
      </w:r>
    </w:p>
    <w:p w14:paraId="0984B63C">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2.1.2供应商提供的资格证明文件缺少任何一项或有任何一项不满足，都将被视为无效投标。供应商所提供的资格证明文件应图文清晰、易于辨识，否则由此带来的不利后果由供应商自行承担。</w:t>
      </w:r>
    </w:p>
    <w:p w14:paraId="04416FCA">
      <w:pPr>
        <w:spacing w:line="440" w:lineRule="exact"/>
        <w:ind w:firstLine="472" w:firstLineChars="196"/>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2.2评标</w:t>
      </w:r>
    </w:p>
    <w:p w14:paraId="1341A24B">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2.2.1评标委员会</w:t>
      </w:r>
    </w:p>
    <w:p w14:paraId="4181653B">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（1）采购代理机构根据《中华人民共和国政府采购法》及其实施条例、《政府采购货物和服务招标投标管理办法》（财政部令第87号）等规定，依法组建评标委员会。</w:t>
      </w:r>
    </w:p>
    <w:p w14:paraId="41325DD1">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（2）采购人派代表进入评标委员会时，须向采购代理机构出具授权函。</w:t>
      </w:r>
    </w:p>
    <w:p w14:paraId="3FCE81E9">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（3）评标委员会应推荐一名评审专家担任主任评委，并由评审组长牵头组织该项目评审工作，采购人代表不得担任主任评委。</w:t>
      </w:r>
    </w:p>
    <w:p w14:paraId="74F542B5">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（4）评标委员会成员不得参加开标活动。</w:t>
      </w:r>
    </w:p>
    <w:p w14:paraId="67114034">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（5）评标委员会成员应当遵守并履行下列职责义务：</w:t>
      </w:r>
    </w:p>
    <w:p w14:paraId="4E981DAA">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a、遵纪守法，客观、公正、认真负责地履行职责，根据招标文件规定的评标程序、评标方法和评标标准审查投标文件；</w:t>
      </w:r>
    </w:p>
    <w:p w14:paraId="3106F93A">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b、符合性审查、评价投标文件是否符合招标文件的商务、技术等实质性要求；</w:t>
      </w:r>
    </w:p>
    <w:p w14:paraId="5C3069B5">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c、要求供应商对投标文件有关事项作出澄清或者说明；</w:t>
      </w:r>
    </w:p>
    <w:p w14:paraId="28DBC9F4">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d、对投标文件进行比较和评价；</w:t>
      </w:r>
    </w:p>
    <w:p w14:paraId="33B9ADCB">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e、确定中标候选人名单，以及根据采购人委托直接确定中标人；</w:t>
      </w:r>
    </w:p>
    <w:p w14:paraId="323B17D7">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f、向采购人、采购代理机构或者有关部门报告评标中发现的违法行为； </w:t>
      </w:r>
    </w:p>
    <w:p w14:paraId="4D7E25F7">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g、对评标过程及各供应商的商业机密予以保密；</w:t>
      </w:r>
    </w:p>
    <w:p w14:paraId="1C4D8C5E">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h、配合采购人、采购代理机构答复各供应商提出的质疑；</w:t>
      </w:r>
    </w:p>
    <w:p w14:paraId="4704FDFE">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i、配合各部门的投诉处理和监督检查工作。</w:t>
      </w:r>
    </w:p>
    <w:p w14:paraId="3ADC9BD3">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2.2.2在政府采购活动中，采购人员及相关人员（包括评标委员会）与供应商有下列利害关系之一的，应当回避：</w:t>
      </w:r>
    </w:p>
    <w:p w14:paraId="093293DF">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（1）参加采购活动前3年内与供应商存在劳动关系；</w:t>
      </w:r>
    </w:p>
    <w:p w14:paraId="1F9D5A06">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（2）参加采购活动前3年内担任供应商的董事、监事；</w:t>
      </w:r>
    </w:p>
    <w:p w14:paraId="3AFDE492">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（3）参加采购活动前3年内是供应商的控股股东或者实际控制人；</w:t>
      </w:r>
    </w:p>
    <w:p w14:paraId="62FB4A72">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（4）与供应商的法定代表人或者负责人有夫妻、直系血亲、三代以内旁系血亲或者近姻亲关系；</w:t>
      </w:r>
    </w:p>
    <w:p w14:paraId="26660989">
      <w:pPr>
        <w:widowControl w:val="0"/>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（5）与供应商有其他可能影响政府采购活动公平、公正进行的关系。</w:t>
      </w:r>
    </w:p>
    <w:p w14:paraId="1B4C0F4E">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2.3评标原则：坚持公平、公正、科学、择优原则，禁止不正当竞争。</w:t>
      </w:r>
    </w:p>
    <w:p w14:paraId="0E77B4C7">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2.4评标办法：本次招标采用综合评分法（详见本节评分标准）。</w:t>
      </w:r>
    </w:p>
    <w:p w14:paraId="60406AA6">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2.5评标工作程序：符合性审查、澄清、评价、推荐中标候选人的工作程序进行评标。</w:t>
      </w:r>
    </w:p>
    <w:p w14:paraId="0AD38D8C">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2.5.1投标文件符合性审查</w:t>
      </w:r>
    </w:p>
    <w:p w14:paraId="6D65716A">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（1）供应商资格性审查通过后，评标委员会对符合资格的投标人的投标文件进行符合性审查，以确定其是否满足招标文件的实质性要求。</w:t>
      </w:r>
    </w:p>
    <w:p w14:paraId="7DC4A9A9">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（2）对于投标文件中含义不明确、同类问题表述不一致或者有明显文字和计算错误的内容，评标委员会应当以书面形式要求投标人作出必要的澄清、说明或者补正。</w:t>
      </w:r>
    </w:p>
    <w:p w14:paraId="4BC79C11">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（3）投标人的澄清、说明或者补正应当采用书面形式，并加盖公章，或者由法定代表人或其授权的代表签字。投标人的澄清、说明或者补正不得超出投标文件的范围或者改变投标文件的实质性内容。</w:t>
      </w:r>
    </w:p>
    <w:p w14:paraId="23F332B6">
      <w:pPr>
        <w:spacing w:line="440" w:lineRule="exact"/>
        <w:ind w:firstLine="472" w:firstLineChars="196"/>
        <w:rPr>
          <w:rFonts w:hint="eastAsia" w:ascii="宋体" w:hAnsi="宋体" w:eastAsia="宋体" w:cs="宋体"/>
          <w:b/>
          <w:color w:val="000000"/>
          <w:sz w:val="24"/>
          <w:szCs w:val="24"/>
          <w:highlight w:val="none"/>
        </w:rPr>
      </w:pPr>
      <w:bookmarkStart w:id="116" w:name="_Hlk101442261"/>
      <w:r>
        <w:rPr>
          <w:rFonts w:hint="eastAsia" w:ascii="宋体" w:hAnsi="宋体" w:eastAsia="宋体" w:cs="宋体"/>
          <w:b/>
          <w:color w:val="000000"/>
          <w:sz w:val="24"/>
          <w:szCs w:val="24"/>
          <w:highlight w:val="none"/>
        </w:rPr>
        <w:t>注：</w:t>
      </w:r>
    </w:p>
    <w:p w14:paraId="75AAB444">
      <w:pPr>
        <w:spacing w:line="440" w:lineRule="exact"/>
        <w:ind w:firstLine="472" w:firstLineChars="196"/>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1.若投标文件中未对不合理报价进行说明，评标委员会应按照下文2</w:t>
      </w:r>
      <w:r>
        <w:rPr>
          <w:rFonts w:hint="eastAsia" w:ascii="宋体" w:hAnsi="宋体" w:eastAsia="宋体" w:cs="宋体"/>
          <w:b/>
          <w:color w:val="000000"/>
          <w:sz w:val="24"/>
          <w:szCs w:val="24"/>
          <w:highlight w:val="none"/>
          <w:lang w:val="en-US" w:eastAsia="zh-CN"/>
        </w:rPr>
        <w:t>.</w:t>
      </w:r>
      <w:r>
        <w:rPr>
          <w:rFonts w:hint="eastAsia" w:ascii="宋体" w:hAnsi="宋体" w:eastAsia="宋体" w:cs="宋体"/>
          <w:b/>
          <w:color w:val="000000"/>
          <w:sz w:val="24"/>
          <w:szCs w:val="24"/>
          <w:highlight w:val="none"/>
        </w:rPr>
        <w:t>5</w:t>
      </w:r>
      <w:r>
        <w:rPr>
          <w:rFonts w:hint="eastAsia" w:ascii="宋体" w:hAnsi="宋体" w:eastAsia="宋体" w:cs="宋体"/>
          <w:b/>
          <w:color w:val="000000"/>
          <w:sz w:val="24"/>
          <w:szCs w:val="24"/>
          <w:highlight w:val="none"/>
          <w:lang w:val="en-US" w:eastAsia="zh-CN"/>
        </w:rPr>
        <w:t>.</w:t>
      </w:r>
      <w:r>
        <w:rPr>
          <w:rFonts w:hint="eastAsia" w:ascii="宋体" w:hAnsi="宋体" w:eastAsia="宋体" w:cs="宋体"/>
          <w:b/>
          <w:color w:val="000000"/>
          <w:sz w:val="24"/>
          <w:szCs w:val="24"/>
          <w:highlight w:val="none"/>
        </w:rPr>
        <w:t>2中（3）要求供应商提供相关资料。</w:t>
      </w:r>
    </w:p>
    <w:bookmarkEnd w:id="116"/>
    <w:p w14:paraId="4FC699E2">
      <w:pPr>
        <w:spacing w:line="440" w:lineRule="exact"/>
        <w:ind w:firstLine="472" w:firstLineChars="196"/>
        <w:rPr>
          <w:rFonts w:hint="eastAsia" w:ascii="宋体" w:hAnsi="宋体" w:eastAsia="宋体" w:cs="宋体"/>
          <w:b/>
          <w:bCs/>
          <w:color w:val="000000"/>
          <w:sz w:val="24"/>
          <w:szCs w:val="24"/>
          <w:highlight w:val="none"/>
        </w:rPr>
      </w:pPr>
      <w:r>
        <w:rPr>
          <w:rFonts w:hint="eastAsia" w:ascii="宋体" w:hAnsi="宋体" w:eastAsia="宋体" w:cs="宋体"/>
          <w:b/>
          <w:color w:val="000000"/>
          <w:sz w:val="24"/>
          <w:szCs w:val="24"/>
          <w:highlight w:val="none"/>
        </w:rPr>
        <w:t>2.</w:t>
      </w:r>
      <w:r>
        <w:rPr>
          <w:rFonts w:hint="eastAsia" w:ascii="宋体" w:hAnsi="宋体" w:eastAsia="宋体" w:cs="宋体"/>
          <w:b/>
          <w:bCs/>
          <w:color w:val="000000"/>
          <w:sz w:val="24"/>
          <w:szCs w:val="24"/>
          <w:highlight w:val="none"/>
        </w:rPr>
        <w:t>参与评审的报价若有缺漏视为得0分。</w:t>
      </w:r>
    </w:p>
    <w:p w14:paraId="4B78FDA0">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2.5.2投标文件的澄清：</w:t>
      </w:r>
    </w:p>
    <w:p w14:paraId="6B11FEDE">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在评标期间,对于投标文件中含义不明确、同类问题表述不一致或者有明显文字和计算错误的内容，评标委员会应当以书面形式要求供应商作出必要的澄清、说明或者补正。供应商的澄清、说明或者补正应当采用书面形式，并加盖公章，或者由法定代表人或被授权人签字。供应商的澄清、说明或者补正不得超出投标文件的范围或者改变投标文件的实质性内容。</w:t>
      </w:r>
    </w:p>
    <w:p w14:paraId="21896C2E">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（2）书写错误的评审标准：</w:t>
      </w:r>
    </w:p>
    <w:p w14:paraId="07770968">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评标委员会在评标过程中，发现投标文件出现下列情况之一者，按以下原则修正：</w:t>
      </w:r>
    </w:p>
    <w:p w14:paraId="1C7CF2D9">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a、投标文件有关内容与“开标一览表”不一致的，以“开标一览表”为准；</w:t>
      </w:r>
    </w:p>
    <w:p w14:paraId="2C15778E">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b、大写金额与小写金额不一致的，以大写金额为准；</w:t>
      </w:r>
    </w:p>
    <w:p w14:paraId="763D03BC">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c、单价金额小数点或者百分比有明显错位的，以“开标一览表”的总价为准，并修改单价；</w:t>
      </w:r>
    </w:p>
    <w:p w14:paraId="5D961717">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d、总价金额与按单价汇总金额不一致的，以单价乘以数量的计算结果为准；</w:t>
      </w:r>
    </w:p>
    <w:p w14:paraId="2FA3783B">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e、投标文件图表与文字不符时，以文字为准；</w:t>
      </w:r>
    </w:p>
    <w:p w14:paraId="590D02B6">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f、投标文件正本与副本不符时，以正本为准；</w:t>
      </w:r>
    </w:p>
    <w:p w14:paraId="66ED5FF0">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g、对不同文字文本投标文件的解释发生异议的，以中文文本为准；</w:t>
      </w:r>
    </w:p>
    <w:p w14:paraId="5DF805C2">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h、多处内容交叉不符时，以评标委员会评审结果为准。</w:t>
      </w:r>
    </w:p>
    <w:p w14:paraId="708BB9B1">
      <w:pPr>
        <w:spacing w:line="440" w:lineRule="exact"/>
        <w:ind w:firstLine="472" w:firstLineChars="196"/>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注：按上述方法修正的内容（其中，同时出现上述a至d两种以上不一致的，按上述规定的顺序修正），经供应商确认后产生约束力，供应商不确认的，其投标无效。</w:t>
      </w:r>
    </w:p>
    <w:p w14:paraId="6B430E28">
      <w:pPr>
        <w:keepNext w:val="0"/>
        <w:keepLines w:val="0"/>
        <w:widowControl/>
        <w:suppressLineNumbers w:val="0"/>
        <w:ind w:firstLine="480" w:firstLineChars="200"/>
        <w:jc w:val="left"/>
        <w:rPr>
          <w:rFonts w:hint="eastAsia" w:ascii="宋体" w:hAnsi="宋体" w:eastAsia="宋体" w:cs="宋体"/>
          <w:highlight w:val="none"/>
        </w:rPr>
      </w:pPr>
      <w:r>
        <w:rPr>
          <w:rFonts w:hint="eastAsia" w:ascii="宋体" w:hAnsi="宋体" w:eastAsia="宋体" w:cs="宋体"/>
          <w:bCs/>
          <w:color w:val="000000"/>
          <w:sz w:val="24"/>
          <w:szCs w:val="24"/>
          <w:highlight w:val="none"/>
        </w:rPr>
        <w:t>（3）政府采购评审中出现下列情形之一的，评审委员会应当启动异常低价投标审查程序：1</w:t>
      </w:r>
      <w:r>
        <w:rPr>
          <w:rFonts w:hint="eastAsia" w:ascii="宋体" w:hAnsi="宋体" w:eastAsia="宋体" w:cs="宋体"/>
          <w:bCs/>
          <w:color w:val="000000"/>
          <w:sz w:val="24"/>
          <w:szCs w:val="24"/>
          <w:highlight w:val="none"/>
          <w:lang w:val="en-US" w:eastAsia="zh-CN"/>
        </w:rPr>
        <w:t>)</w:t>
      </w:r>
      <w:r>
        <w:rPr>
          <w:rFonts w:hint="eastAsia" w:ascii="宋体" w:hAnsi="宋体" w:eastAsia="宋体" w:cs="宋体"/>
          <w:bCs/>
          <w:color w:val="000000"/>
          <w:sz w:val="24"/>
          <w:szCs w:val="24"/>
          <w:highlight w:val="none"/>
        </w:rPr>
        <w:t>投标报价低于全部通过符合性审查供应商投标报价平均值</w:t>
      </w:r>
      <w:r>
        <w:rPr>
          <w:rFonts w:hint="eastAsia" w:ascii="宋体" w:hAnsi="宋体" w:eastAsia="宋体" w:cs="宋体"/>
          <w:bCs/>
          <w:color w:val="000000"/>
          <w:sz w:val="24"/>
          <w:szCs w:val="24"/>
          <w:highlight w:val="none"/>
          <w:lang w:val="en-US" w:eastAsia="zh-CN"/>
        </w:rPr>
        <w:t>65</w:t>
      </w:r>
      <w:r>
        <w:rPr>
          <w:rFonts w:hint="eastAsia" w:ascii="宋体" w:hAnsi="宋体" w:eastAsia="宋体" w:cs="宋体"/>
          <w:bCs/>
          <w:color w:val="000000"/>
          <w:sz w:val="24"/>
          <w:szCs w:val="24"/>
          <w:highlight w:val="none"/>
        </w:rPr>
        <w:t>%的，即投标报价&lt;全部通过符合性审查供应商投标报价平均值×</w:t>
      </w:r>
      <w:r>
        <w:rPr>
          <w:rFonts w:hint="eastAsia" w:ascii="宋体" w:hAnsi="宋体" w:eastAsia="宋体" w:cs="宋体"/>
          <w:bCs/>
          <w:color w:val="000000"/>
          <w:sz w:val="24"/>
          <w:szCs w:val="24"/>
          <w:highlight w:val="none"/>
          <w:lang w:val="en-US" w:eastAsia="zh-CN"/>
        </w:rPr>
        <w:t>65</w:t>
      </w:r>
      <w:r>
        <w:rPr>
          <w:rFonts w:hint="eastAsia" w:ascii="宋体" w:hAnsi="宋体" w:eastAsia="宋体" w:cs="宋体"/>
          <w:bCs/>
          <w:color w:val="000000"/>
          <w:sz w:val="24"/>
          <w:szCs w:val="24"/>
          <w:highlight w:val="none"/>
        </w:rPr>
        <w:t>%；2</w:t>
      </w:r>
      <w:r>
        <w:rPr>
          <w:rFonts w:hint="eastAsia" w:ascii="宋体" w:hAnsi="宋体" w:eastAsia="宋体" w:cs="宋体"/>
          <w:bCs/>
          <w:color w:val="000000"/>
          <w:sz w:val="24"/>
          <w:szCs w:val="24"/>
          <w:highlight w:val="none"/>
          <w:lang w:val="en-US" w:eastAsia="zh-CN"/>
        </w:rPr>
        <w:t>)</w:t>
      </w:r>
      <w:r>
        <w:rPr>
          <w:rFonts w:hint="eastAsia" w:ascii="宋体" w:hAnsi="宋体" w:eastAsia="宋体" w:cs="宋体"/>
          <w:bCs/>
          <w:color w:val="000000"/>
          <w:sz w:val="24"/>
          <w:szCs w:val="24"/>
          <w:highlight w:val="none"/>
        </w:rPr>
        <w:t>投标报价低于通过符合性审查的次低报价供应商投标报价</w:t>
      </w:r>
      <w:r>
        <w:rPr>
          <w:rFonts w:hint="eastAsia" w:ascii="宋体" w:hAnsi="宋体" w:eastAsia="宋体" w:cs="宋体"/>
          <w:bCs/>
          <w:color w:val="000000"/>
          <w:sz w:val="24"/>
          <w:szCs w:val="24"/>
          <w:highlight w:val="none"/>
          <w:lang w:val="en-US" w:eastAsia="zh-CN"/>
        </w:rPr>
        <w:t>65</w:t>
      </w:r>
      <w:r>
        <w:rPr>
          <w:rFonts w:hint="eastAsia" w:ascii="宋体" w:hAnsi="宋体" w:eastAsia="宋体" w:cs="宋体"/>
          <w:bCs/>
          <w:color w:val="000000"/>
          <w:sz w:val="24"/>
          <w:szCs w:val="24"/>
          <w:highlight w:val="none"/>
        </w:rPr>
        <w:t>%的，即投标报价&lt;通过符合性审查的次低报价供应商投标报价×</w:t>
      </w:r>
      <w:r>
        <w:rPr>
          <w:rFonts w:hint="eastAsia" w:ascii="宋体" w:hAnsi="宋体" w:eastAsia="宋体" w:cs="宋体"/>
          <w:bCs/>
          <w:color w:val="000000"/>
          <w:sz w:val="24"/>
          <w:szCs w:val="24"/>
          <w:highlight w:val="none"/>
          <w:lang w:val="en-US" w:eastAsia="zh-CN"/>
        </w:rPr>
        <w:t>65</w:t>
      </w:r>
      <w:r>
        <w:rPr>
          <w:rFonts w:hint="eastAsia" w:ascii="宋体" w:hAnsi="宋体" w:eastAsia="宋体" w:cs="宋体"/>
          <w:bCs/>
          <w:color w:val="000000"/>
          <w:sz w:val="24"/>
          <w:szCs w:val="24"/>
          <w:highlight w:val="none"/>
        </w:rPr>
        <w:t>%；3.投标报价低于采购项目最高限价</w:t>
      </w:r>
      <w:r>
        <w:rPr>
          <w:rFonts w:hint="eastAsia" w:ascii="宋体" w:hAnsi="宋体" w:eastAsia="宋体" w:cs="宋体"/>
          <w:bCs/>
          <w:color w:val="000000"/>
          <w:sz w:val="24"/>
          <w:szCs w:val="24"/>
          <w:highlight w:val="none"/>
          <w:lang w:val="en-US" w:eastAsia="zh-CN"/>
        </w:rPr>
        <w:t>60</w:t>
      </w:r>
      <w:r>
        <w:rPr>
          <w:rFonts w:hint="eastAsia" w:ascii="宋体" w:hAnsi="宋体" w:eastAsia="宋体" w:cs="宋体"/>
          <w:bCs/>
          <w:color w:val="000000"/>
          <w:sz w:val="24"/>
          <w:szCs w:val="24"/>
          <w:highlight w:val="none"/>
        </w:rPr>
        <w:t>%的，即投标报价&lt;采购项目最高限价×</w:t>
      </w:r>
      <w:r>
        <w:rPr>
          <w:rFonts w:hint="eastAsia" w:ascii="宋体" w:hAnsi="宋体" w:eastAsia="宋体" w:cs="宋体"/>
          <w:bCs/>
          <w:color w:val="000000"/>
          <w:sz w:val="24"/>
          <w:szCs w:val="24"/>
          <w:highlight w:val="none"/>
          <w:lang w:val="en-US" w:eastAsia="zh-CN"/>
        </w:rPr>
        <w:t>60</w:t>
      </w:r>
      <w:r>
        <w:rPr>
          <w:rFonts w:hint="eastAsia" w:ascii="宋体" w:hAnsi="宋体" w:eastAsia="宋体" w:cs="宋体"/>
          <w:bCs/>
          <w:color w:val="000000"/>
          <w:sz w:val="24"/>
          <w:szCs w:val="24"/>
          <w:highlight w:val="none"/>
        </w:rPr>
        <w:t>%；4.评审委员会基于专业判断，认为供应商报价过低，有可能影响产品质量或者不能诚信履约的其他情形。</w:t>
      </w:r>
      <w:r>
        <w:rPr>
          <w:rFonts w:hint="eastAsia" w:ascii="宋体" w:hAnsi="宋体" w:eastAsia="宋体" w:cs="宋体"/>
          <w:kern w:val="0"/>
          <w:sz w:val="24"/>
          <w:szCs w:val="24"/>
          <w:highlight w:val="none"/>
          <w:lang w:val="en-US" w:eastAsia="zh-CN" w:bidi="ar"/>
        </w:rPr>
        <w:t>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要求相关供应商在35分钟内做出答复。其中，属于第3项情形，供应商已随投标文件一并提交相关书面说明及必要的证明材料的，在评审现场可不再重复提交。</w:t>
      </w:r>
    </w:p>
    <w:p w14:paraId="14DC2976">
      <w:pPr>
        <w:keepNext w:val="0"/>
        <w:keepLines w:val="0"/>
        <w:widowControl/>
        <w:suppressLineNumbers w:val="0"/>
        <w:ind w:firstLine="480" w:firstLineChars="200"/>
        <w:jc w:val="left"/>
        <w:rPr>
          <w:rFonts w:hint="eastAsia" w:ascii="宋体" w:hAnsi="宋体" w:eastAsia="宋体" w:cs="宋体"/>
          <w:bCs/>
          <w:color w:val="000000"/>
          <w:sz w:val="24"/>
          <w:szCs w:val="24"/>
          <w:highlight w:val="none"/>
        </w:rPr>
      </w:pPr>
      <w:r>
        <w:rPr>
          <w:rFonts w:hint="eastAsia" w:ascii="宋体" w:hAnsi="宋体" w:eastAsia="宋体" w:cs="宋体"/>
          <w:kern w:val="0"/>
          <w:sz w:val="24"/>
          <w:szCs w:val="24"/>
          <w:highlight w:val="none"/>
          <w:lang w:val="en-US" w:eastAsia="zh-CN" w:bidi="ar"/>
        </w:rPr>
        <w:t>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r>
        <w:rPr>
          <w:rFonts w:hint="eastAsia" w:ascii="宋体" w:hAnsi="宋体" w:eastAsia="宋体" w:cs="宋体"/>
          <w:bCs/>
          <w:color w:val="000000"/>
          <w:sz w:val="24"/>
          <w:szCs w:val="24"/>
          <w:highlight w:val="none"/>
        </w:rPr>
        <w:t>。</w:t>
      </w:r>
    </w:p>
    <w:p w14:paraId="775E0F18">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w:t>
      </w:r>
      <w:r>
        <w:rPr>
          <w:rFonts w:hint="eastAsia" w:ascii="宋体" w:hAnsi="宋体" w:eastAsia="宋体" w:cs="宋体"/>
          <w:bCs/>
          <w:color w:val="000000"/>
          <w:sz w:val="24"/>
          <w:szCs w:val="24"/>
          <w:highlight w:val="none"/>
          <w:lang w:val="en-US" w:eastAsia="zh-CN"/>
        </w:rPr>
        <w:t>.</w:t>
      </w:r>
      <w:r>
        <w:rPr>
          <w:rFonts w:hint="eastAsia" w:ascii="宋体" w:hAnsi="宋体" w:eastAsia="宋体" w:cs="宋体"/>
          <w:bCs/>
          <w:color w:val="000000"/>
          <w:sz w:val="24"/>
          <w:szCs w:val="24"/>
          <w:highlight w:val="none"/>
        </w:rPr>
        <w:t>5</w:t>
      </w:r>
      <w:r>
        <w:rPr>
          <w:rFonts w:hint="eastAsia" w:ascii="宋体" w:hAnsi="宋体" w:eastAsia="宋体" w:cs="宋体"/>
          <w:bCs/>
          <w:color w:val="000000"/>
          <w:sz w:val="24"/>
          <w:szCs w:val="24"/>
          <w:highlight w:val="none"/>
          <w:lang w:val="en-US" w:eastAsia="zh-CN"/>
        </w:rPr>
        <w:t>.</w:t>
      </w:r>
      <w:r>
        <w:rPr>
          <w:rFonts w:hint="eastAsia" w:ascii="宋体" w:hAnsi="宋体" w:eastAsia="宋体" w:cs="宋体"/>
          <w:bCs/>
          <w:color w:val="000000"/>
          <w:sz w:val="24"/>
          <w:szCs w:val="24"/>
          <w:highlight w:val="none"/>
        </w:rPr>
        <w:t>3、评议：</w:t>
      </w:r>
    </w:p>
    <w:p w14:paraId="5DF16570">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（1）评标委员会评审投标文件符合性</w:t>
      </w:r>
      <w:bookmarkStart w:id="117" w:name="_Hlk31381212"/>
      <w:r>
        <w:rPr>
          <w:rFonts w:hint="eastAsia" w:ascii="宋体" w:hAnsi="宋体" w:eastAsia="宋体" w:cs="宋体"/>
          <w:bCs/>
          <w:color w:val="000000"/>
          <w:sz w:val="24"/>
          <w:szCs w:val="24"/>
          <w:highlight w:val="none"/>
        </w:rPr>
        <w:t>（除不合理报价外）</w:t>
      </w:r>
      <w:bookmarkEnd w:id="117"/>
      <w:r>
        <w:rPr>
          <w:rFonts w:hint="eastAsia" w:ascii="宋体" w:hAnsi="宋体" w:eastAsia="宋体" w:cs="宋体"/>
          <w:bCs/>
          <w:color w:val="000000"/>
          <w:sz w:val="24"/>
          <w:szCs w:val="24"/>
          <w:highlight w:val="none"/>
        </w:rPr>
        <w:t>只根据投标文件本身的内容，而不寻求其他外部证据。</w:t>
      </w:r>
    </w:p>
    <w:p w14:paraId="38CAC914">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（2）评标采取逐项分步评审方式，每一步评审不符合者，不进入下一步评审，全部评审合格的供应商进行最后的综合评审和打分，按最后得分由高向低排序，推荐中标候选人。</w:t>
      </w:r>
    </w:p>
    <w:p w14:paraId="3C5BAC7A">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（3）其他需说明的情况：</w:t>
      </w:r>
    </w:p>
    <w:p w14:paraId="7300B951">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a、对于投标文件中不构成实质性偏差的小的不正规、不一致或不规则，采购人可以接受，但这种接受不能损害或影响任何供应商的相对排序；</w:t>
      </w:r>
    </w:p>
    <w:p w14:paraId="590841D3">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b、最低报价不是中标的唯一条件；</w:t>
      </w:r>
    </w:p>
    <w:p w14:paraId="1BBDE667">
      <w:pPr>
        <w:spacing w:line="440" w:lineRule="exact"/>
        <w:ind w:firstLine="470" w:firstLineChars="196"/>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c、如果投标实质上没有响应招标文件的要求，其投标将被拒绝，供应商不得通过修正或撤消不合要求的偏离或保留从而使其投标成为实质上响应的投标。</w:t>
      </w:r>
    </w:p>
    <w:p w14:paraId="4C3970AA">
      <w:pPr>
        <w:widowControl w:val="0"/>
        <w:numPr>
          <w:ilvl w:val="0"/>
          <w:numId w:val="0"/>
        </w:numPr>
        <w:spacing w:line="324" w:lineRule="auto"/>
        <w:ind w:firstLine="480" w:firstLineChars="200"/>
        <w:jc w:val="both"/>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d、无论投标的结果如何，投标期间一切费用自理。</w:t>
      </w:r>
    </w:p>
    <w:p w14:paraId="7031C53F">
      <w:pPr>
        <w:jc w:val="center"/>
        <w:outlineLvl w:val="1"/>
        <w:rPr>
          <w:rFonts w:hint="eastAsia" w:ascii="宋体" w:hAnsi="宋体" w:eastAsia="宋体" w:cs="宋体"/>
          <w:b/>
          <w:color w:val="000000"/>
          <w:sz w:val="28"/>
          <w:szCs w:val="28"/>
          <w:highlight w:val="none"/>
        </w:rPr>
      </w:pPr>
      <w:r>
        <w:rPr>
          <w:rFonts w:hint="eastAsia" w:ascii="宋体" w:hAnsi="宋体" w:eastAsia="宋体" w:cs="宋体"/>
          <w:bCs/>
          <w:color w:val="000000"/>
          <w:sz w:val="24"/>
          <w:szCs w:val="24"/>
          <w:highlight w:val="none"/>
        </w:rPr>
        <w:br w:type="page"/>
      </w:r>
      <w:bookmarkStart w:id="118" w:name="_Toc29985"/>
      <w:bookmarkStart w:id="119" w:name="_Toc14313"/>
      <w:bookmarkStart w:id="120" w:name="_Toc32503"/>
      <w:r>
        <w:rPr>
          <w:rFonts w:hint="eastAsia" w:ascii="宋体" w:hAnsi="宋体" w:eastAsia="宋体" w:cs="宋体"/>
          <w:b/>
          <w:color w:val="000000"/>
          <w:sz w:val="32"/>
          <w:szCs w:val="32"/>
          <w:highlight w:val="none"/>
        </w:rPr>
        <w:t>3.评分标准</w:t>
      </w:r>
      <w:bookmarkEnd w:id="118"/>
      <w:bookmarkEnd w:id="119"/>
      <w:bookmarkEnd w:id="120"/>
    </w:p>
    <w:p w14:paraId="29D80EC9">
      <w:pPr>
        <w:widowControl w:val="0"/>
        <w:numPr>
          <w:ilvl w:val="0"/>
          <w:numId w:val="0"/>
        </w:numPr>
        <w:spacing w:line="324" w:lineRule="auto"/>
        <w:jc w:val="center"/>
        <w:rPr>
          <w:rFonts w:hint="eastAsia" w:ascii="宋体" w:hAnsi="宋体" w:eastAsia="宋体" w:cs="宋体"/>
          <w:highlight w:val="none"/>
          <w:lang w:val="en-US" w:eastAsia="zh-CN"/>
        </w:rPr>
      </w:pPr>
      <w:bookmarkStart w:id="121" w:name="_Toc22862"/>
      <w:bookmarkStart w:id="122" w:name="_Toc11974"/>
      <w:bookmarkStart w:id="123" w:name="_Toc19582"/>
      <w:r>
        <w:rPr>
          <w:rFonts w:hint="eastAsia" w:ascii="宋体" w:hAnsi="宋体" w:eastAsia="宋体" w:cs="宋体"/>
          <w:b/>
          <w:color w:val="000000"/>
          <w:sz w:val="28"/>
          <w:szCs w:val="28"/>
          <w:highlight w:val="none"/>
        </w:rPr>
        <w:t>（1）资格性审查表</w:t>
      </w:r>
      <w:bookmarkEnd w:id="121"/>
      <w:bookmarkEnd w:id="122"/>
      <w:bookmarkEnd w:id="123"/>
    </w:p>
    <w:tbl>
      <w:tblPr>
        <w:tblStyle w:val="15"/>
        <w:tblW w:w="8729"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4"/>
        <w:gridCol w:w="1635"/>
        <w:gridCol w:w="5730"/>
      </w:tblGrid>
      <w:tr w14:paraId="2908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364" w:type="dxa"/>
            <w:noWrap w:val="0"/>
            <w:vAlign w:val="center"/>
          </w:tcPr>
          <w:p w14:paraId="774FAF36">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r>
              <w:rPr>
                <w:rFonts w:hint="eastAsia" w:ascii="宋体" w:hAnsi="宋体" w:eastAsia="宋体" w:cs="宋体"/>
                <w:bCs/>
                <w:color w:val="auto"/>
                <w:sz w:val="24"/>
                <w:szCs w:val="24"/>
                <w:highlight w:val="none"/>
                <w:shd w:val="clear" w:color="auto" w:fill="auto"/>
              </w:rPr>
              <w:t>条款号</w:t>
            </w:r>
          </w:p>
        </w:tc>
        <w:tc>
          <w:tcPr>
            <w:tcW w:w="1635" w:type="dxa"/>
            <w:noWrap w:val="0"/>
            <w:vAlign w:val="center"/>
          </w:tcPr>
          <w:p w14:paraId="7D2CDBC2">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r>
              <w:rPr>
                <w:rFonts w:hint="eastAsia" w:ascii="宋体" w:hAnsi="宋体" w:eastAsia="宋体" w:cs="宋体"/>
                <w:bCs/>
                <w:color w:val="auto"/>
                <w:sz w:val="24"/>
                <w:szCs w:val="24"/>
                <w:highlight w:val="none"/>
                <w:shd w:val="clear" w:color="auto" w:fill="auto"/>
              </w:rPr>
              <w:t>评审因素</w:t>
            </w:r>
          </w:p>
        </w:tc>
        <w:tc>
          <w:tcPr>
            <w:tcW w:w="5730" w:type="dxa"/>
            <w:noWrap w:val="0"/>
            <w:vAlign w:val="center"/>
          </w:tcPr>
          <w:p w14:paraId="708DA217">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r>
              <w:rPr>
                <w:rFonts w:hint="eastAsia" w:ascii="宋体" w:hAnsi="宋体" w:eastAsia="宋体" w:cs="宋体"/>
                <w:bCs/>
                <w:color w:val="auto"/>
                <w:sz w:val="24"/>
                <w:szCs w:val="24"/>
                <w:highlight w:val="none"/>
                <w:shd w:val="clear" w:color="auto" w:fill="auto"/>
              </w:rPr>
              <w:t>评审标准</w:t>
            </w:r>
          </w:p>
        </w:tc>
      </w:tr>
      <w:tr w14:paraId="690C3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64" w:type="dxa"/>
            <w:vMerge w:val="restart"/>
            <w:noWrap w:val="0"/>
            <w:vAlign w:val="center"/>
          </w:tcPr>
          <w:p w14:paraId="4F6F2B7B">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r>
              <w:rPr>
                <w:rFonts w:hint="eastAsia" w:ascii="宋体" w:hAnsi="宋体" w:eastAsia="宋体" w:cs="宋体"/>
                <w:bCs/>
                <w:color w:val="auto"/>
                <w:sz w:val="24"/>
                <w:szCs w:val="24"/>
                <w:highlight w:val="none"/>
                <w:shd w:val="clear" w:color="auto" w:fill="auto"/>
              </w:rPr>
              <w:t>资格评审</w:t>
            </w:r>
          </w:p>
          <w:p w14:paraId="6924E1B3">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r>
              <w:rPr>
                <w:rFonts w:hint="eastAsia" w:ascii="宋体" w:hAnsi="宋体" w:eastAsia="宋体" w:cs="宋体"/>
                <w:bCs/>
                <w:color w:val="auto"/>
                <w:sz w:val="24"/>
                <w:szCs w:val="24"/>
                <w:highlight w:val="none"/>
                <w:shd w:val="clear" w:color="auto" w:fill="auto"/>
              </w:rPr>
              <w:t>标准</w:t>
            </w:r>
          </w:p>
        </w:tc>
        <w:tc>
          <w:tcPr>
            <w:tcW w:w="1635" w:type="dxa"/>
            <w:vMerge w:val="restart"/>
            <w:noWrap w:val="0"/>
            <w:vAlign w:val="center"/>
          </w:tcPr>
          <w:p w14:paraId="486A4574">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r>
              <w:rPr>
                <w:rFonts w:hint="eastAsia" w:ascii="宋体" w:hAnsi="宋体" w:eastAsia="宋体" w:cs="宋体"/>
                <w:bCs/>
                <w:color w:val="auto"/>
                <w:sz w:val="24"/>
                <w:szCs w:val="24"/>
                <w:highlight w:val="none"/>
                <w:shd w:val="clear" w:color="auto" w:fill="auto"/>
              </w:rPr>
              <w:t>资格条件</w:t>
            </w:r>
          </w:p>
          <w:p w14:paraId="5B9C505A">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5730" w:type="dxa"/>
            <w:noWrap w:val="0"/>
            <w:vAlign w:val="center"/>
          </w:tcPr>
          <w:p w14:paraId="6954AC5A">
            <w:pPr>
              <w:spacing w:line="240" w:lineRule="auto"/>
              <w:rPr>
                <w:rFonts w:hint="eastAsia" w:ascii="宋体" w:hAnsi="宋体" w:eastAsia="宋体" w:cs="宋体"/>
                <w:bCs/>
                <w:color w:val="auto"/>
                <w:sz w:val="24"/>
                <w:szCs w:val="24"/>
                <w:highlight w:val="none"/>
                <w:shd w:val="clear" w:color="auto" w:fill="auto"/>
                <w:lang w:val="en-US"/>
              </w:rPr>
            </w:pPr>
            <w:r>
              <w:rPr>
                <w:rFonts w:hint="eastAsia" w:ascii="宋体" w:hAnsi="宋体" w:eastAsia="宋体" w:cs="宋体"/>
                <w:sz w:val="24"/>
                <w:szCs w:val="24"/>
                <w:highlight w:val="none"/>
              </w:rPr>
              <w:t>响应主体：具有独立承担民事责任能力的法人、其他组织或自然人，提供合法有效的统一社会信用代码营业执照（事业单位提供事业单位法人证书，自然人提供身份证明）</w:t>
            </w:r>
          </w:p>
        </w:tc>
      </w:tr>
      <w:tr w14:paraId="5C10C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64" w:type="dxa"/>
            <w:vMerge w:val="continue"/>
            <w:noWrap w:val="0"/>
            <w:vAlign w:val="center"/>
          </w:tcPr>
          <w:p w14:paraId="1FFCEDD6">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1635" w:type="dxa"/>
            <w:vMerge w:val="continue"/>
            <w:noWrap w:val="0"/>
            <w:vAlign w:val="center"/>
          </w:tcPr>
          <w:p w14:paraId="2E83C0C5">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5730" w:type="dxa"/>
            <w:noWrap w:val="0"/>
            <w:vAlign w:val="center"/>
          </w:tcPr>
          <w:p w14:paraId="4F85E635">
            <w:pPr>
              <w:spacing w:line="240" w:lineRule="auto"/>
              <w:rPr>
                <w:rFonts w:hint="eastAsia" w:ascii="宋体" w:hAnsi="宋体" w:eastAsia="宋体" w:cs="宋体"/>
                <w:bCs/>
                <w:color w:val="auto"/>
                <w:sz w:val="24"/>
                <w:szCs w:val="24"/>
                <w:highlight w:val="none"/>
                <w:shd w:val="clear" w:color="auto" w:fill="auto"/>
                <w:lang w:eastAsia="zh-CN"/>
              </w:rPr>
            </w:pPr>
            <w:r>
              <w:rPr>
                <w:rFonts w:hint="eastAsia" w:ascii="宋体" w:hAnsi="宋体" w:eastAsia="宋体" w:cs="宋体"/>
                <w:sz w:val="24"/>
                <w:szCs w:val="24"/>
                <w:highlight w:val="none"/>
              </w:rPr>
              <w:t>财务状况报告：法人提供经审计的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文件递交截止时间不足一年的可提供成立后任意时段的资产负债表）或</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tc>
      </w:tr>
      <w:tr w14:paraId="183A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8" w:hRule="atLeast"/>
        </w:trPr>
        <w:tc>
          <w:tcPr>
            <w:tcW w:w="1364" w:type="dxa"/>
            <w:vMerge w:val="continue"/>
            <w:noWrap w:val="0"/>
            <w:vAlign w:val="center"/>
          </w:tcPr>
          <w:p w14:paraId="3516F5D6">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1635" w:type="dxa"/>
            <w:vMerge w:val="continue"/>
            <w:noWrap w:val="0"/>
            <w:vAlign w:val="center"/>
          </w:tcPr>
          <w:p w14:paraId="66963106">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5730" w:type="dxa"/>
            <w:noWrap w:val="0"/>
            <w:vAlign w:val="center"/>
          </w:tcPr>
          <w:p w14:paraId="3E7EE688">
            <w:pPr>
              <w:spacing w:line="240" w:lineRule="auto"/>
              <w:rPr>
                <w:rFonts w:hint="eastAsia" w:ascii="宋体" w:hAnsi="宋体" w:eastAsia="宋体" w:cs="宋体"/>
                <w:bCs/>
                <w:color w:val="auto"/>
                <w:sz w:val="24"/>
                <w:szCs w:val="24"/>
                <w:highlight w:val="none"/>
                <w:shd w:val="clear" w:color="auto" w:fill="auto"/>
                <w:lang w:eastAsia="zh-CN"/>
              </w:rPr>
            </w:pPr>
            <w:r>
              <w:rPr>
                <w:rFonts w:hint="eastAsia" w:ascii="宋体" w:hAnsi="宋体" w:eastAsia="宋体" w:cs="宋体"/>
                <w:sz w:val="24"/>
                <w:szCs w:val="24"/>
                <w:highlight w:val="none"/>
              </w:rPr>
              <w:t>社会保障资金缴纳证明：截止</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时间前六个月内任意一个月的社会保障资金缴存单据或社保机构开具的社会保险参保缴费情况证明；依法不需要缴纳社会保障资金的投标人应提供相关文件证明</w:t>
            </w:r>
          </w:p>
        </w:tc>
      </w:tr>
      <w:tr w14:paraId="0705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364" w:type="dxa"/>
            <w:vMerge w:val="continue"/>
            <w:noWrap w:val="0"/>
            <w:vAlign w:val="center"/>
          </w:tcPr>
          <w:p w14:paraId="7A5710F2">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1635" w:type="dxa"/>
            <w:vMerge w:val="continue"/>
            <w:noWrap w:val="0"/>
            <w:vAlign w:val="center"/>
          </w:tcPr>
          <w:p w14:paraId="4BDCCA96">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5730" w:type="dxa"/>
            <w:noWrap w:val="0"/>
            <w:vAlign w:val="center"/>
          </w:tcPr>
          <w:p w14:paraId="486E80D1">
            <w:pPr>
              <w:spacing w:line="24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sz w:val="24"/>
                <w:szCs w:val="24"/>
                <w:highlight w:val="none"/>
              </w:rPr>
              <w:t>税收缴纳证明：截止</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时间前六个月内任意一个月的纳税证明或完税证明（任意税种），纳税证明或完税证明上应有代收机构或税务机关的公章或业务专用章；依法免税的投标人应提供相关文件证明</w:t>
            </w:r>
          </w:p>
        </w:tc>
      </w:tr>
      <w:tr w14:paraId="4ECD5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364" w:type="dxa"/>
            <w:vMerge w:val="continue"/>
            <w:noWrap w:val="0"/>
            <w:vAlign w:val="center"/>
          </w:tcPr>
          <w:p w14:paraId="41498CD1">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1635" w:type="dxa"/>
            <w:vMerge w:val="continue"/>
            <w:noWrap w:val="0"/>
            <w:vAlign w:val="center"/>
          </w:tcPr>
          <w:p w14:paraId="61491DF9">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5730" w:type="dxa"/>
            <w:noWrap w:val="0"/>
            <w:vAlign w:val="center"/>
          </w:tcPr>
          <w:p w14:paraId="464DBCF3">
            <w:pPr>
              <w:spacing w:line="24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sz w:val="24"/>
                <w:szCs w:val="24"/>
                <w:highlight w:val="none"/>
              </w:rPr>
              <w:t>信用主体查询及声明：供应商不得为“信用中国”列入重大税收违法失信主体的供应商，不得为“中国执行信息公开网”网站中失信被执行人，不得为“中国政府采购网”政府采购严重违法失信行为记录名单中被财政部门禁止参加政府采购活动的供应商；供应商应提供参加本次政府采购活动前3年内在经营活动中没有重大违纪、未被列入失信被执行人、重大税收违法案件当事人名单、政府采购严重违法失信行为记录名单的书面声明。（以采购代理机构在</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文件递交截止时间后当天查询记录为准）</w:t>
            </w:r>
          </w:p>
        </w:tc>
      </w:tr>
      <w:tr w14:paraId="7782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364" w:type="dxa"/>
            <w:vMerge w:val="continue"/>
            <w:noWrap w:val="0"/>
            <w:vAlign w:val="center"/>
          </w:tcPr>
          <w:p w14:paraId="7C9220CA">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1635" w:type="dxa"/>
            <w:vMerge w:val="continue"/>
            <w:noWrap w:val="0"/>
            <w:vAlign w:val="center"/>
          </w:tcPr>
          <w:p w14:paraId="40E97A83">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5730" w:type="dxa"/>
            <w:noWrap w:val="0"/>
            <w:vAlign w:val="center"/>
          </w:tcPr>
          <w:p w14:paraId="1FB654B5">
            <w:pPr>
              <w:spacing w:line="240" w:lineRule="auto"/>
              <w:rPr>
                <w:rFonts w:hint="eastAsia" w:ascii="宋体" w:hAnsi="宋体" w:eastAsia="宋体" w:cs="宋体"/>
                <w:bCs/>
                <w:color w:val="auto"/>
                <w:sz w:val="24"/>
                <w:szCs w:val="24"/>
                <w:highlight w:val="none"/>
                <w:shd w:val="clear" w:color="auto" w:fill="auto"/>
                <w:lang w:eastAsia="zh-CN"/>
              </w:rPr>
            </w:pPr>
            <w:r>
              <w:rPr>
                <w:rFonts w:hint="eastAsia" w:ascii="宋体" w:hAnsi="宋体" w:eastAsia="宋体" w:cs="宋体"/>
                <w:sz w:val="24"/>
                <w:szCs w:val="24"/>
                <w:highlight w:val="none"/>
              </w:rPr>
              <w:t>提供具有履行本项目合同所必需的设备和专业能力的承诺</w:t>
            </w:r>
          </w:p>
        </w:tc>
      </w:tr>
      <w:tr w14:paraId="446F5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364" w:type="dxa"/>
            <w:vMerge w:val="continue"/>
            <w:noWrap w:val="0"/>
            <w:vAlign w:val="center"/>
          </w:tcPr>
          <w:p w14:paraId="35A87A96">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1635" w:type="dxa"/>
            <w:vMerge w:val="continue"/>
            <w:noWrap w:val="0"/>
            <w:vAlign w:val="center"/>
          </w:tcPr>
          <w:p w14:paraId="221DB9D1">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5730" w:type="dxa"/>
            <w:noWrap w:val="0"/>
            <w:vAlign w:val="center"/>
          </w:tcPr>
          <w:p w14:paraId="5A285AF7">
            <w:pPr>
              <w:spacing w:line="240" w:lineRule="auto"/>
              <w:rPr>
                <w:rFonts w:hint="eastAsia" w:ascii="宋体" w:hAnsi="宋体" w:eastAsia="宋体" w:cs="宋体"/>
                <w:bCs/>
                <w:color w:val="auto"/>
                <w:sz w:val="24"/>
                <w:szCs w:val="24"/>
                <w:highlight w:val="none"/>
                <w:shd w:val="clear" w:color="auto" w:fill="auto"/>
                <w:lang w:eastAsia="zh-CN"/>
              </w:rPr>
            </w:pPr>
            <w:r>
              <w:rPr>
                <w:rFonts w:hint="eastAsia" w:ascii="宋体" w:hAnsi="宋体" w:eastAsia="宋体" w:cs="宋体"/>
                <w:sz w:val="24"/>
                <w:szCs w:val="24"/>
                <w:highlight w:val="none"/>
              </w:rPr>
              <w:t>法定代表人授权书及被授权人截止</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时间前六个月内任意一个月的社保缴纳证明（法定代表人直接参加</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，须提供法定代表人身份证明）</w:t>
            </w:r>
          </w:p>
        </w:tc>
      </w:tr>
      <w:tr w14:paraId="7E96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364" w:type="dxa"/>
            <w:vMerge w:val="continue"/>
            <w:noWrap w:val="0"/>
            <w:vAlign w:val="center"/>
          </w:tcPr>
          <w:p w14:paraId="34EA10A7">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1635" w:type="dxa"/>
            <w:vMerge w:val="continue"/>
            <w:noWrap w:val="0"/>
            <w:vAlign w:val="center"/>
          </w:tcPr>
          <w:p w14:paraId="383CA95E">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5730" w:type="dxa"/>
            <w:noWrap w:val="0"/>
            <w:vAlign w:val="center"/>
          </w:tcPr>
          <w:p w14:paraId="3F45BCD3">
            <w:pPr>
              <w:spacing w:line="240" w:lineRule="auto"/>
              <w:rPr>
                <w:rFonts w:hint="eastAsia" w:ascii="宋体" w:hAnsi="宋体" w:eastAsia="宋体" w:cs="宋体"/>
                <w:bCs/>
                <w:color w:val="auto"/>
                <w:sz w:val="24"/>
                <w:szCs w:val="24"/>
                <w:highlight w:val="none"/>
                <w:shd w:val="clear" w:color="auto" w:fill="auto"/>
                <w:lang w:val="en-US" w:eastAsia="zh-CN"/>
              </w:rPr>
            </w:pPr>
            <w:r>
              <w:rPr>
                <w:rFonts w:hint="eastAsia" w:ascii="宋体" w:hAnsi="宋体" w:eastAsia="宋体" w:cs="宋体"/>
                <w:sz w:val="24"/>
                <w:szCs w:val="24"/>
                <w:highlight w:val="none"/>
                <w:lang w:val="en-US" w:eastAsia="zh-CN"/>
              </w:rPr>
              <w:t>供应商须具备省级及以上国家保密局颁发的《国家秘密载体印制资质》乙级及以上资质（内容包含“涉密档案数字化加工”类），供应商为陕西省外企业的须提供在陕西省主管部门的备案证明 （甲级资质无需备案）</w:t>
            </w:r>
          </w:p>
        </w:tc>
      </w:tr>
      <w:tr w14:paraId="38886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64" w:type="dxa"/>
            <w:vMerge w:val="continue"/>
            <w:noWrap w:val="0"/>
            <w:vAlign w:val="center"/>
          </w:tcPr>
          <w:p w14:paraId="32356469">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1635" w:type="dxa"/>
            <w:vMerge w:val="continue"/>
            <w:noWrap w:val="0"/>
            <w:vAlign w:val="center"/>
          </w:tcPr>
          <w:p w14:paraId="30EF0054">
            <w:pPr>
              <w:tabs>
                <w:tab w:val="left" w:pos="0"/>
              </w:tabs>
              <w:adjustRightInd w:val="0"/>
              <w:snapToGrid w:val="0"/>
              <w:jc w:val="center"/>
              <w:rPr>
                <w:rFonts w:hint="eastAsia" w:ascii="宋体" w:hAnsi="宋体" w:eastAsia="宋体" w:cs="宋体"/>
                <w:bCs/>
                <w:color w:val="auto"/>
                <w:sz w:val="24"/>
                <w:szCs w:val="24"/>
                <w:highlight w:val="none"/>
                <w:shd w:val="clear" w:color="auto" w:fill="auto"/>
              </w:rPr>
            </w:pPr>
          </w:p>
        </w:tc>
        <w:tc>
          <w:tcPr>
            <w:tcW w:w="5730" w:type="dxa"/>
            <w:noWrap w:val="0"/>
            <w:vAlign w:val="center"/>
          </w:tcPr>
          <w:p w14:paraId="7C06826C">
            <w:pPr>
              <w:numPr>
                <w:ilvl w:val="0"/>
                <w:numId w:val="0"/>
              </w:numPr>
              <w:spacing w:line="24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sz w:val="24"/>
                <w:szCs w:val="24"/>
                <w:highlight w:val="none"/>
              </w:rPr>
              <w:t>其他要求：（1）单位负责人为同一人或者存在直接控股、管理关系的不同供应商，不得同时参加同一合同项下的政府采购活动； （2）为本项目提供整体设计、规范编制或者项目管理、监理、检测等服务的供应商，不得再参加该采购项目的其他采购活动</w:t>
            </w:r>
          </w:p>
        </w:tc>
      </w:tr>
      <w:tr w14:paraId="41732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29" w:type="dxa"/>
            <w:gridSpan w:val="3"/>
            <w:noWrap w:val="0"/>
            <w:vAlign w:val="center"/>
          </w:tcPr>
          <w:p w14:paraId="21BD3AC3">
            <w:pPr>
              <w:pStyle w:val="7"/>
              <w:rPr>
                <w:rFonts w:hint="eastAsia" w:ascii="宋体" w:hAnsi="宋体" w:eastAsia="宋体" w:cs="宋体"/>
                <w:bCs/>
                <w:color w:val="auto"/>
                <w:sz w:val="24"/>
                <w:szCs w:val="24"/>
                <w:highlight w:val="none"/>
                <w:shd w:val="clear" w:color="auto" w:fill="auto"/>
              </w:rPr>
            </w:pPr>
            <w:r>
              <w:rPr>
                <w:rFonts w:hint="eastAsia" w:ascii="宋体" w:hAnsi="宋体" w:eastAsia="宋体" w:cs="宋体"/>
                <w:b/>
                <w:color w:val="auto"/>
                <w:sz w:val="24"/>
                <w:szCs w:val="24"/>
                <w:highlight w:val="none"/>
                <w:shd w:val="clear" w:color="auto" w:fill="auto"/>
              </w:rPr>
              <w:t>注：以上为必备资格条件，缺一项或某项达不到要求，按无效文件处理。</w:t>
            </w:r>
            <w:r>
              <w:rPr>
                <w:rFonts w:hint="eastAsia" w:ascii="宋体" w:hAnsi="宋体" w:eastAsia="宋体" w:cs="宋体"/>
                <w:b/>
                <w:color w:val="auto"/>
                <w:sz w:val="24"/>
                <w:szCs w:val="24"/>
                <w:highlight w:val="none"/>
                <w:shd w:val="clear" w:color="auto" w:fill="auto"/>
                <w:lang w:val="en-US" w:eastAsia="zh-CN"/>
              </w:rPr>
              <w:t>现场单独携带的原件：</w:t>
            </w:r>
            <w:r>
              <w:rPr>
                <w:rFonts w:hint="eastAsia" w:ascii="宋体" w:hAnsi="宋体" w:eastAsia="宋体" w:cs="宋体"/>
                <w:b/>
                <w:color w:val="auto"/>
                <w:sz w:val="24"/>
                <w:szCs w:val="24"/>
                <w:highlight w:val="none"/>
                <w:shd w:val="clear" w:color="auto" w:fill="auto"/>
              </w:rPr>
              <w:t>法定代表人身份证明书</w:t>
            </w:r>
            <w:r>
              <w:rPr>
                <w:rFonts w:hint="eastAsia" w:ascii="宋体" w:hAnsi="宋体" w:eastAsia="宋体" w:cs="宋体"/>
                <w:b/>
                <w:color w:val="auto"/>
                <w:sz w:val="24"/>
                <w:szCs w:val="24"/>
                <w:highlight w:val="none"/>
                <w:shd w:val="clear" w:color="auto" w:fill="auto"/>
                <w:lang w:eastAsia="zh-CN"/>
              </w:rPr>
              <w:t>、</w:t>
            </w:r>
            <w:r>
              <w:rPr>
                <w:rFonts w:hint="eastAsia" w:ascii="宋体" w:hAnsi="宋体" w:eastAsia="宋体" w:cs="宋体"/>
                <w:b/>
                <w:color w:val="auto"/>
                <w:sz w:val="24"/>
                <w:szCs w:val="24"/>
                <w:highlight w:val="none"/>
                <w:shd w:val="clear" w:color="auto" w:fill="auto"/>
                <w:lang w:val="en-US" w:eastAsia="zh-CN"/>
              </w:rPr>
              <w:t>法定代表人身份证</w:t>
            </w:r>
            <w:r>
              <w:rPr>
                <w:rFonts w:hint="eastAsia" w:ascii="宋体" w:hAnsi="宋体" w:eastAsia="宋体" w:cs="宋体"/>
                <w:b/>
                <w:color w:val="auto"/>
                <w:sz w:val="24"/>
                <w:szCs w:val="24"/>
                <w:highlight w:val="none"/>
                <w:shd w:val="clear" w:color="auto" w:fill="auto"/>
              </w:rPr>
              <w:t>或法定代表人授权委托书、被授权人身份证。</w:t>
            </w:r>
          </w:p>
        </w:tc>
      </w:tr>
    </w:tbl>
    <w:p w14:paraId="5F336E8F">
      <w:pPr>
        <w:jc w:val="center"/>
        <w:rPr>
          <w:rFonts w:hint="eastAsia" w:ascii="宋体" w:hAnsi="宋体" w:eastAsia="宋体" w:cs="宋体"/>
          <w:b/>
          <w:color w:val="000000"/>
          <w:sz w:val="28"/>
          <w:szCs w:val="28"/>
          <w:highlight w:val="none"/>
        </w:rPr>
      </w:pPr>
      <w:r>
        <w:rPr>
          <w:rFonts w:hint="eastAsia" w:ascii="宋体" w:hAnsi="宋体" w:eastAsia="宋体" w:cs="宋体"/>
          <w:color w:val="auto"/>
          <w:highlight w:val="none"/>
          <w:shd w:val="clear" w:color="auto" w:fill="auto"/>
          <w:lang w:val="zh-CN" w:eastAsia="zh-CN"/>
        </w:rPr>
        <w:br w:type="page"/>
      </w:r>
      <w:bookmarkStart w:id="124" w:name="_Toc5828"/>
      <w:bookmarkStart w:id="125" w:name="_Toc14046"/>
      <w:bookmarkStart w:id="126" w:name="_Toc24242"/>
      <w:r>
        <w:rPr>
          <w:rFonts w:hint="eastAsia" w:ascii="宋体" w:hAnsi="宋体" w:eastAsia="宋体" w:cs="宋体"/>
          <w:b/>
          <w:color w:val="000000"/>
          <w:sz w:val="28"/>
          <w:szCs w:val="28"/>
          <w:highlight w:val="none"/>
        </w:rPr>
        <w:t>（2）符合性审查表</w:t>
      </w:r>
      <w:bookmarkEnd w:id="124"/>
      <w:bookmarkEnd w:id="125"/>
      <w:bookmarkEnd w:id="126"/>
    </w:p>
    <w:tbl>
      <w:tblPr>
        <w:tblStyle w:val="15"/>
        <w:tblW w:w="951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30"/>
        <w:gridCol w:w="2634"/>
        <w:gridCol w:w="6055"/>
      </w:tblGrid>
      <w:tr w14:paraId="5A0B45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40" w:hRule="atLeast"/>
          <w:jc w:val="center"/>
        </w:trPr>
        <w:tc>
          <w:tcPr>
            <w:tcW w:w="830" w:type="dxa"/>
            <w:tcBorders>
              <w:top w:val="single" w:color="auto" w:sz="12" w:space="0"/>
              <w:left w:val="single" w:color="auto" w:sz="12" w:space="0"/>
              <w:bottom w:val="single" w:color="auto" w:sz="2" w:space="0"/>
              <w:right w:val="single" w:color="auto" w:sz="2" w:space="0"/>
            </w:tcBorders>
            <w:shd w:val="clear" w:color="auto" w:fill="F1F1F1"/>
            <w:noWrap w:val="0"/>
            <w:vAlign w:val="center"/>
          </w:tcPr>
          <w:p w14:paraId="21F60EE4">
            <w:pPr>
              <w:spacing w:line="560" w:lineRule="exact"/>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序号</w:t>
            </w:r>
          </w:p>
        </w:tc>
        <w:tc>
          <w:tcPr>
            <w:tcW w:w="2634" w:type="dxa"/>
            <w:tcBorders>
              <w:top w:val="single" w:color="auto" w:sz="12" w:space="0"/>
              <w:left w:val="single" w:color="auto" w:sz="2" w:space="0"/>
              <w:bottom w:val="single" w:color="auto" w:sz="2" w:space="0"/>
              <w:right w:val="single" w:color="auto" w:sz="2" w:space="0"/>
            </w:tcBorders>
            <w:shd w:val="clear" w:color="auto" w:fill="F1F1F1"/>
            <w:noWrap w:val="0"/>
            <w:vAlign w:val="center"/>
          </w:tcPr>
          <w:p w14:paraId="4082D03C">
            <w:pPr>
              <w:spacing w:line="560" w:lineRule="exact"/>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符合性审查项</w:t>
            </w:r>
          </w:p>
        </w:tc>
        <w:tc>
          <w:tcPr>
            <w:tcW w:w="6055" w:type="dxa"/>
            <w:tcBorders>
              <w:top w:val="single" w:color="auto" w:sz="12" w:space="0"/>
              <w:left w:val="single" w:color="auto" w:sz="2" w:space="0"/>
              <w:bottom w:val="single" w:color="auto" w:sz="2" w:space="0"/>
              <w:right w:val="single" w:color="auto" w:sz="12" w:space="0"/>
            </w:tcBorders>
            <w:shd w:val="clear" w:color="auto" w:fill="F1F1F1"/>
            <w:noWrap w:val="0"/>
            <w:vAlign w:val="center"/>
          </w:tcPr>
          <w:p w14:paraId="336561F7">
            <w:pPr>
              <w:spacing w:line="560" w:lineRule="exact"/>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通过条件</w:t>
            </w:r>
          </w:p>
        </w:tc>
      </w:tr>
      <w:tr w14:paraId="1E501B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963" w:hRule="atLeast"/>
          <w:jc w:val="center"/>
        </w:trPr>
        <w:tc>
          <w:tcPr>
            <w:tcW w:w="830" w:type="dxa"/>
            <w:tcBorders>
              <w:top w:val="single" w:color="auto" w:sz="2" w:space="0"/>
              <w:left w:val="single" w:color="auto" w:sz="12" w:space="0"/>
              <w:bottom w:val="single" w:color="auto" w:sz="2" w:space="0"/>
              <w:right w:val="single" w:color="auto" w:sz="2" w:space="0"/>
            </w:tcBorders>
            <w:noWrap w:val="0"/>
            <w:vAlign w:val="center"/>
          </w:tcPr>
          <w:p w14:paraId="0F0A5852">
            <w:pPr>
              <w:spacing w:line="560" w:lineRule="exact"/>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p>
        </w:tc>
        <w:tc>
          <w:tcPr>
            <w:tcW w:w="2634" w:type="dxa"/>
            <w:tcBorders>
              <w:top w:val="single" w:color="auto" w:sz="2" w:space="0"/>
              <w:left w:val="single" w:color="auto" w:sz="2" w:space="0"/>
              <w:bottom w:val="single" w:color="auto" w:sz="2" w:space="0"/>
              <w:right w:val="single" w:color="auto" w:sz="2" w:space="0"/>
            </w:tcBorders>
            <w:noWrap w:val="0"/>
            <w:vAlign w:val="center"/>
          </w:tcPr>
          <w:p w14:paraId="6E7D21B9">
            <w:pPr>
              <w:spacing w:line="24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与项目的一致性</w:t>
            </w:r>
          </w:p>
        </w:tc>
        <w:tc>
          <w:tcPr>
            <w:tcW w:w="6055" w:type="dxa"/>
            <w:tcBorders>
              <w:top w:val="single" w:color="auto" w:sz="2" w:space="0"/>
              <w:left w:val="single" w:color="auto" w:sz="2" w:space="0"/>
              <w:bottom w:val="single" w:color="auto" w:sz="2" w:space="0"/>
              <w:right w:val="single" w:color="auto" w:sz="12" w:space="0"/>
            </w:tcBorders>
            <w:noWrap w:val="0"/>
            <w:vAlign w:val="center"/>
          </w:tcPr>
          <w:p w14:paraId="39D5F909">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至少以下三处的项目名称、项目编号、标段（未分标段的除外）与本项目完全一致：</w:t>
            </w:r>
          </w:p>
          <w:p w14:paraId="0A1085F7">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（1）投标文件封面</w:t>
            </w:r>
          </w:p>
          <w:p w14:paraId="364E5495">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（2）投标函</w:t>
            </w:r>
          </w:p>
          <w:p w14:paraId="691DCBB1">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（3）法定代表人（主要负责人）委托授权书\身份证明</w:t>
            </w:r>
          </w:p>
        </w:tc>
      </w:tr>
      <w:tr w14:paraId="1DE2CF3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198" w:hRule="atLeast"/>
          <w:jc w:val="center"/>
        </w:trPr>
        <w:tc>
          <w:tcPr>
            <w:tcW w:w="830" w:type="dxa"/>
            <w:tcBorders>
              <w:top w:val="single" w:color="auto" w:sz="2" w:space="0"/>
              <w:left w:val="single" w:color="auto" w:sz="12" w:space="0"/>
              <w:bottom w:val="single" w:color="auto" w:sz="2" w:space="0"/>
              <w:right w:val="single" w:color="auto" w:sz="2" w:space="0"/>
            </w:tcBorders>
            <w:noWrap w:val="0"/>
            <w:vAlign w:val="center"/>
          </w:tcPr>
          <w:p w14:paraId="6F521D9D">
            <w:pPr>
              <w:spacing w:line="560" w:lineRule="exact"/>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w:t>
            </w:r>
          </w:p>
        </w:tc>
        <w:tc>
          <w:tcPr>
            <w:tcW w:w="2634" w:type="dxa"/>
            <w:tcBorders>
              <w:top w:val="single" w:color="auto" w:sz="2" w:space="0"/>
              <w:left w:val="single" w:color="auto" w:sz="2" w:space="0"/>
              <w:bottom w:val="single" w:color="auto" w:sz="2" w:space="0"/>
              <w:right w:val="single" w:color="auto" w:sz="2" w:space="0"/>
            </w:tcBorders>
            <w:noWrap w:val="0"/>
            <w:vAlign w:val="center"/>
          </w:tcPr>
          <w:p w14:paraId="4CF2009D">
            <w:pPr>
              <w:spacing w:line="24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投标文件组成</w:t>
            </w:r>
          </w:p>
        </w:tc>
        <w:tc>
          <w:tcPr>
            <w:tcW w:w="6055" w:type="dxa"/>
            <w:tcBorders>
              <w:top w:val="single" w:color="auto" w:sz="2" w:space="0"/>
              <w:left w:val="single" w:color="auto" w:sz="2" w:space="0"/>
              <w:bottom w:val="single" w:color="auto" w:sz="2" w:space="0"/>
              <w:right w:val="single" w:color="auto" w:sz="12" w:space="0"/>
            </w:tcBorders>
            <w:noWrap w:val="0"/>
            <w:vAlign w:val="center"/>
          </w:tcPr>
          <w:p w14:paraId="23A966C6">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投标文件应包含以下部分：</w:t>
            </w:r>
          </w:p>
          <w:p w14:paraId="6E52141E">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（1）投标函</w:t>
            </w:r>
          </w:p>
          <w:p w14:paraId="38881F8F">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（2）开标一览表</w:t>
            </w:r>
          </w:p>
          <w:p w14:paraId="7D5B9D6E">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资格证明文件</w:t>
            </w:r>
          </w:p>
          <w:p w14:paraId="769CE3DD">
            <w:pPr>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供应商概况</w:t>
            </w:r>
          </w:p>
          <w:p w14:paraId="54AB82DD">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）投标方案</w:t>
            </w:r>
            <w:r>
              <w:rPr>
                <w:rFonts w:hint="eastAsia" w:ascii="宋体" w:hAnsi="宋体" w:eastAsia="宋体" w:cs="宋体"/>
                <w:color w:val="000000"/>
                <w:sz w:val="24"/>
                <w:szCs w:val="24"/>
                <w:highlight w:val="none"/>
                <w:lang w:val="en-US" w:eastAsia="zh-CN"/>
              </w:rPr>
              <w:t>说明</w:t>
            </w:r>
          </w:p>
          <w:p w14:paraId="0AFA2219">
            <w:pPr>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）供应商承诺书</w:t>
            </w:r>
          </w:p>
        </w:tc>
      </w:tr>
      <w:tr w14:paraId="1D5068B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5" w:hRule="atLeast"/>
          <w:jc w:val="center"/>
        </w:trPr>
        <w:tc>
          <w:tcPr>
            <w:tcW w:w="830" w:type="dxa"/>
            <w:tcBorders>
              <w:top w:val="single" w:color="auto" w:sz="2" w:space="0"/>
              <w:left w:val="single" w:color="auto" w:sz="12" w:space="0"/>
              <w:bottom w:val="single" w:color="auto" w:sz="2" w:space="0"/>
              <w:right w:val="single" w:color="auto" w:sz="2" w:space="0"/>
            </w:tcBorders>
            <w:noWrap w:val="0"/>
            <w:vAlign w:val="center"/>
          </w:tcPr>
          <w:p w14:paraId="42FE56B0">
            <w:pPr>
              <w:spacing w:line="560" w:lineRule="exact"/>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w:t>
            </w:r>
          </w:p>
        </w:tc>
        <w:tc>
          <w:tcPr>
            <w:tcW w:w="2634" w:type="dxa"/>
            <w:tcBorders>
              <w:top w:val="single" w:color="auto" w:sz="2" w:space="0"/>
              <w:left w:val="single" w:color="auto" w:sz="2" w:space="0"/>
              <w:bottom w:val="single" w:color="auto" w:sz="2" w:space="0"/>
              <w:right w:val="single" w:color="auto" w:sz="2" w:space="0"/>
            </w:tcBorders>
            <w:noWrap w:val="0"/>
            <w:vAlign w:val="center"/>
          </w:tcPr>
          <w:p w14:paraId="2BDFF307">
            <w:pPr>
              <w:spacing w:line="24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投标文件的签署、</w:t>
            </w:r>
            <w:r>
              <w:rPr>
                <w:rFonts w:hint="eastAsia" w:ascii="宋体" w:hAnsi="宋体" w:eastAsia="宋体" w:cs="宋体"/>
                <w:color w:val="000000"/>
                <w:sz w:val="24"/>
                <w:szCs w:val="24"/>
                <w:highlight w:val="none"/>
              </w:rPr>
              <w:t>签章</w:t>
            </w:r>
          </w:p>
        </w:tc>
        <w:tc>
          <w:tcPr>
            <w:tcW w:w="6055" w:type="dxa"/>
            <w:tcBorders>
              <w:top w:val="single" w:color="auto" w:sz="2" w:space="0"/>
              <w:left w:val="single" w:color="auto" w:sz="2" w:space="0"/>
              <w:bottom w:val="single" w:color="auto" w:sz="2" w:space="0"/>
              <w:right w:val="single" w:color="auto" w:sz="12" w:space="0"/>
            </w:tcBorders>
            <w:noWrap w:val="0"/>
            <w:vAlign w:val="center"/>
          </w:tcPr>
          <w:p w14:paraId="1A6D29E6">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签章均符合招标文件要求，且无遗漏。</w:t>
            </w:r>
          </w:p>
        </w:tc>
      </w:tr>
      <w:tr w14:paraId="1427259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6" w:hRule="atLeast"/>
          <w:jc w:val="center"/>
        </w:trPr>
        <w:tc>
          <w:tcPr>
            <w:tcW w:w="830" w:type="dxa"/>
            <w:tcBorders>
              <w:top w:val="single" w:color="auto" w:sz="2" w:space="0"/>
              <w:left w:val="single" w:color="auto" w:sz="12" w:space="0"/>
              <w:bottom w:val="single" w:color="auto" w:sz="2" w:space="0"/>
              <w:right w:val="single" w:color="auto" w:sz="2" w:space="0"/>
            </w:tcBorders>
            <w:noWrap w:val="0"/>
            <w:vAlign w:val="center"/>
          </w:tcPr>
          <w:p w14:paraId="09E79A04">
            <w:pPr>
              <w:spacing w:line="560" w:lineRule="exact"/>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w:t>
            </w:r>
          </w:p>
        </w:tc>
        <w:tc>
          <w:tcPr>
            <w:tcW w:w="2634" w:type="dxa"/>
            <w:tcBorders>
              <w:top w:val="single" w:color="auto" w:sz="2" w:space="0"/>
              <w:left w:val="single" w:color="auto" w:sz="2" w:space="0"/>
              <w:bottom w:val="single" w:color="auto" w:sz="2" w:space="0"/>
              <w:right w:val="single" w:color="auto" w:sz="2" w:space="0"/>
            </w:tcBorders>
            <w:noWrap w:val="0"/>
            <w:vAlign w:val="center"/>
          </w:tcPr>
          <w:p w14:paraId="68AB8BDD">
            <w:pPr>
              <w:spacing w:line="24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投标文件的</w:t>
            </w:r>
            <w:r>
              <w:rPr>
                <w:rFonts w:hint="eastAsia" w:ascii="宋体" w:hAnsi="宋体" w:eastAsia="宋体" w:cs="宋体"/>
                <w:color w:val="000000"/>
                <w:sz w:val="24"/>
                <w:szCs w:val="24"/>
                <w:highlight w:val="none"/>
              </w:rPr>
              <w:t>语言</w:t>
            </w:r>
            <w:r>
              <w:rPr>
                <w:rFonts w:hint="eastAsia" w:ascii="宋体" w:hAnsi="宋体" w:eastAsia="宋体" w:cs="宋体"/>
                <w:color w:val="000000"/>
                <w:sz w:val="24"/>
                <w:szCs w:val="24"/>
                <w:highlight w:val="none"/>
                <w:lang w:val="en-US" w:eastAsia="zh-CN"/>
              </w:rPr>
              <w:t>及</w:t>
            </w:r>
            <w:r>
              <w:rPr>
                <w:rFonts w:hint="eastAsia" w:ascii="宋体" w:hAnsi="宋体" w:eastAsia="宋体" w:cs="宋体"/>
                <w:color w:val="000000"/>
                <w:sz w:val="24"/>
                <w:szCs w:val="24"/>
                <w:highlight w:val="none"/>
              </w:rPr>
              <w:t>计量单位</w:t>
            </w:r>
          </w:p>
        </w:tc>
        <w:tc>
          <w:tcPr>
            <w:tcW w:w="6055" w:type="dxa"/>
            <w:tcBorders>
              <w:top w:val="single" w:color="auto" w:sz="2" w:space="0"/>
              <w:left w:val="single" w:color="auto" w:sz="2" w:space="0"/>
              <w:bottom w:val="single" w:color="auto" w:sz="2" w:space="0"/>
              <w:right w:val="single" w:color="auto" w:sz="12" w:space="0"/>
            </w:tcBorders>
            <w:noWrap w:val="0"/>
            <w:vAlign w:val="center"/>
          </w:tcPr>
          <w:p w14:paraId="0BD984C2">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符合招标文件的要求</w:t>
            </w:r>
          </w:p>
        </w:tc>
      </w:tr>
      <w:tr w14:paraId="433D74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5" w:hRule="atLeast"/>
          <w:jc w:val="center"/>
        </w:trPr>
        <w:tc>
          <w:tcPr>
            <w:tcW w:w="830" w:type="dxa"/>
            <w:tcBorders>
              <w:top w:val="single" w:color="auto" w:sz="2" w:space="0"/>
              <w:left w:val="single" w:color="auto" w:sz="12" w:space="0"/>
              <w:bottom w:val="single" w:color="auto" w:sz="2" w:space="0"/>
              <w:right w:val="single" w:color="auto" w:sz="2" w:space="0"/>
            </w:tcBorders>
            <w:noWrap w:val="0"/>
            <w:vAlign w:val="center"/>
          </w:tcPr>
          <w:p w14:paraId="0DF42017">
            <w:pPr>
              <w:spacing w:line="560" w:lineRule="exact"/>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w:t>
            </w:r>
          </w:p>
        </w:tc>
        <w:tc>
          <w:tcPr>
            <w:tcW w:w="2634" w:type="dxa"/>
            <w:tcBorders>
              <w:top w:val="single" w:color="auto" w:sz="2" w:space="0"/>
              <w:left w:val="single" w:color="auto" w:sz="2" w:space="0"/>
              <w:bottom w:val="single" w:color="auto" w:sz="2" w:space="0"/>
              <w:right w:val="single" w:color="auto" w:sz="2" w:space="0"/>
            </w:tcBorders>
            <w:noWrap w:val="0"/>
            <w:vAlign w:val="center"/>
          </w:tcPr>
          <w:p w14:paraId="279E6BC4">
            <w:pPr>
              <w:spacing w:line="24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投标有效期</w:t>
            </w:r>
          </w:p>
        </w:tc>
        <w:tc>
          <w:tcPr>
            <w:tcW w:w="6055" w:type="dxa"/>
            <w:tcBorders>
              <w:top w:val="single" w:color="auto" w:sz="2" w:space="0"/>
              <w:left w:val="single" w:color="auto" w:sz="2" w:space="0"/>
              <w:bottom w:val="single" w:color="auto" w:sz="2" w:space="0"/>
              <w:right w:val="single" w:color="auto" w:sz="12" w:space="0"/>
            </w:tcBorders>
            <w:noWrap w:val="0"/>
            <w:vAlign w:val="center"/>
          </w:tcPr>
          <w:p w14:paraId="5663FBE9">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符合招标文件的要求</w:t>
            </w:r>
          </w:p>
        </w:tc>
      </w:tr>
      <w:tr w14:paraId="6F6FE92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667" w:hRule="atLeast"/>
          <w:jc w:val="center"/>
        </w:trPr>
        <w:tc>
          <w:tcPr>
            <w:tcW w:w="830" w:type="dxa"/>
            <w:tcBorders>
              <w:top w:val="single" w:color="auto" w:sz="2" w:space="0"/>
              <w:left w:val="single" w:color="auto" w:sz="12" w:space="0"/>
              <w:bottom w:val="single" w:color="auto" w:sz="2" w:space="0"/>
              <w:right w:val="single" w:color="auto" w:sz="2" w:space="0"/>
            </w:tcBorders>
            <w:noWrap w:val="0"/>
            <w:vAlign w:val="center"/>
          </w:tcPr>
          <w:p w14:paraId="4130B259">
            <w:pPr>
              <w:spacing w:line="560" w:lineRule="exact"/>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w:t>
            </w:r>
          </w:p>
        </w:tc>
        <w:tc>
          <w:tcPr>
            <w:tcW w:w="2634" w:type="dxa"/>
            <w:tcBorders>
              <w:top w:val="single" w:color="auto" w:sz="2" w:space="0"/>
              <w:left w:val="single" w:color="auto" w:sz="2" w:space="0"/>
              <w:bottom w:val="single" w:color="auto" w:sz="2" w:space="0"/>
              <w:right w:val="single" w:color="auto" w:sz="2" w:space="0"/>
            </w:tcBorders>
            <w:noWrap w:val="0"/>
            <w:vAlign w:val="center"/>
          </w:tcPr>
          <w:p w14:paraId="6671C62E">
            <w:pPr>
              <w:spacing w:line="24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投标报价</w:t>
            </w:r>
          </w:p>
        </w:tc>
        <w:tc>
          <w:tcPr>
            <w:tcW w:w="6055" w:type="dxa"/>
            <w:tcBorders>
              <w:top w:val="single" w:color="auto" w:sz="2" w:space="0"/>
              <w:left w:val="single" w:color="auto" w:sz="2" w:space="0"/>
              <w:bottom w:val="single" w:color="auto" w:sz="2" w:space="0"/>
              <w:right w:val="single" w:color="auto" w:sz="12" w:space="0"/>
            </w:tcBorders>
            <w:noWrap w:val="0"/>
            <w:vAlign w:val="center"/>
          </w:tcPr>
          <w:p w14:paraId="23F421CF">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同时满足以下条款：</w:t>
            </w:r>
          </w:p>
          <w:p w14:paraId="459CDEB6">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（1）货币单位符合招标文件要求</w:t>
            </w:r>
          </w:p>
          <w:p w14:paraId="73C82CF3">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（2）报价符合唯一性要求</w:t>
            </w:r>
          </w:p>
          <w:p w14:paraId="5087A9EA">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（3）未超出采购预算或最高限价</w:t>
            </w:r>
          </w:p>
          <w:p w14:paraId="1E53AF31">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（4）符合《开标一览表》的填报要求</w:t>
            </w:r>
          </w:p>
        </w:tc>
      </w:tr>
      <w:tr w14:paraId="28B375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7" w:hRule="atLeast"/>
          <w:jc w:val="center"/>
        </w:trPr>
        <w:tc>
          <w:tcPr>
            <w:tcW w:w="830" w:type="dxa"/>
            <w:tcBorders>
              <w:top w:val="single" w:color="auto" w:sz="2" w:space="0"/>
              <w:left w:val="single" w:color="auto" w:sz="12" w:space="0"/>
              <w:bottom w:val="single" w:color="auto" w:sz="2" w:space="0"/>
              <w:right w:val="single" w:color="auto" w:sz="2" w:space="0"/>
            </w:tcBorders>
            <w:noWrap w:val="0"/>
            <w:vAlign w:val="center"/>
          </w:tcPr>
          <w:p w14:paraId="536CDFF2">
            <w:pPr>
              <w:spacing w:line="560" w:lineRule="exact"/>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7</w:t>
            </w:r>
          </w:p>
        </w:tc>
        <w:tc>
          <w:tcPr>
            <w:tcW w:w="2634" w:type="dxa"/>
            <w:tcBorders>
              <w:top w:val="single" w:color="auto" w:sz="2" w:space="0"/>
              <w:left w:val="single" w:color="auto" w:sz="2" w:space="0"/>
              <w:bottom w:val="single" w:color="auto" w:sz="2" w:space="0"/>
              <w:right w:val="single" w:color="auto" w:sz="2" w:space="0"/>
            </w:tcBorders>
            <w:noWrap w:val="0"/>
            <w:vAlign w:val="center"/>
          </w:tcPr>
          <w:p w14:paraId="4887B769">
            <w:pPr>
              <w:spacing w:line="24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实质性条款响应</w:t>
            </w:r>
          </w:p>
        </w:tc>
        <w:tc>
          <w:tcPr>
            <w:tcW w:w="6055" w:type="dxa"/>
            <w:tcBorders>
              <w:top w:val="single" w:color="auto" w:sz="2" w:space="0"/>
              <w:left w:val="single" w:color="auto" w:sz="2" w:space="0"/>
              <w:bottom w:val="single" w:color="auto" w:sz="2" w:space="0"/>
              <w:right w:val="single" w:color="auto" w:sz="12" w:space="0"/>
            </w:tcBorders>
            <w:noWrap w:val="0"/>
            <w:vAlign w:val="center"/>
          </w:tcPr>
          <w:p w14:paraId="1B49B5C3">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完全响应招标文件要求的各项技术（服务）、商务实质性条款。</w:t>
            </w:r>
          </w:p>
        </w:tc>
      </w:tr>
      <w:tr w14:paraId="7543A9A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6" w:hRule="atLeast"/>
          <w:jc w:val="center"/>
        </w:trPr>
        <w:tc>
          <w:tcPr>
            <w:tcW w:w="830" w:type="dxa"/>
            <w:tcBorders>
              <w:top w:val="single" w:color="auto" w:sz="2" w:space="0"/>
              <w:left w:val="single" w:color="auto" w:sz="12" w:space="0"/>
              <w:bottom w:val="single" w:color="auto" w:sz="2" w:space="0"/>
              <w:right w:val="single" w:color="auto" w:sz="2" w:space="0"/>
            </w:tcBorders>
            <w:noWrap w:val="0"/>
            <w:vAlign w:val="center"/>
          </w:tcPr>
          <w:p w14:paraId="33DE9916">
            <w:pPr>
              <w:spacing w:line="560" w:lineRule="exact"/>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w:t>
            </w:r>
          </w:p>
        </w:tc>
        <w:tc>
          <w:tcPr>
            <w:tcW w:w="2634" w:type="dxa"/>
            <w:tcBorders>
              <w:top w:val="single" w:color="auto" w:sz="2" w:space="0"/>
              <w:left w:val="single" w:color="auto" w:sz="2" w:space="0"/>
              <w:bottom w:val="single" w:color="auto" w:sz="2" w:space="0"/>
              <w:right w:val="single" w:color="auto" w:sz="2" w:space="0"/>
            </w:tcBorders>
            <w:noWrap w:val="0"/>
            <w:vAlign w:val="center"/>
          </w:tcPr>
          <w:p w14:paraId="0EE870F9">
            <w:pPr>
              <w:spacing w:line="24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合同条款响应</w:t>
            </w:r>
          </w:p>
        </w:tc>
        <w:tc>
          <w:tcPr>
            <w:tcW w:w="6055" w:type="dxa"/>
            <w:tcBorders>
              <w:top w:val="single" w:color="auto" w:sz="2" w:space="0"/>
              <w:left w:val="single" w:color="auto" w:sz="2" w:space="0"/>
              <w:bottom w:val="single" w:color="auto" w:sz="2" w:space="0"/>
              <w:right w:val="single" w:color="auto" w:sz="12" w:space="0"/>
            </w:tcBorders>
            <w:noWrap w:val="0"/>
            <w:vAlign w:val="center"/>
          </w:tcPr>
          <w:p w14:paraId="70D44D5D">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完全理解并响应招标文件合同条款的要求，且未含有采购人不能接受的附加条件的。</w:t>
            </w:r>
          </w:p>
        </w:tc>
      </w:tr>
      <w:tr w14:paraId="5FFD8CB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3" w:hRule="atLeast"/>
          <w:jc w:val="center"/>
        </w:trPr>
        <w:tc>
          <w:tcPr>
            <w:tcW w:w="830" w:type="dxa"/>
            <w:tcBorders>
              <w:top w:val="single" w:color="auto" w:sz="2" w:space="0"/>
              <w:left w:val="single" w:color="auto" w:sz="12" w:space="0"/>
              <w:bottom w:val="single" w:color="auto" w:sz="2" w:space="0"/>
              <w:right w:val="single" w:color="auto" w:sz="2" w:space="0"/>
            </w:tcBorders>
            <w:noWrap w:val="0"/>
            <w:vAlign w:val="center"/>
          </w:tcPr>
          <w:p w14:paraId="2AA7824D">
            <w:pPr>
              <w:spacing w:line="560" w:lineRule="exact"/>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9</w:t>
            </w:r>
          </w:p>
        </w:tc>
        <w:tc>
          <w:tcPr>
            <w:tcW w:w="2634" w:type="dxa"/>
            <w:tcBorders>
              <w:top w:val="single" w:color="auto" w:sz="2" w:space="0"/>
              <w:left w:val="single" w:color="auto" w:sz="2" w:space="0"/>
              <w:bottom w:val="single" w:color="auto" w:sz="2" w:space="0"/>
              <w:right w:val="single" w:color="auto" w:sz="2" w:space="0"/>
            </w:tcBorders>
            <w:noWrap w:val="0"/>
            <w:vAlign w:val="center"/>
          </w:tcPr>
          <w:p w14:paraId="6516DC57">
            <w:pPr>
              <w:spacing w:line="24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其他</w:t>
            </w:r>
          </w:p>
        </w:tc>
        <w:tc>
          <w:tcPr>
            <w:tcW w:w="6055" w:type="dxa"/>
            <w:tcBorders>
              <w:top w:val="single" w:color="auto" w:sz="2" w:space="0"/>
              <w:left w:val="single" w:color="auto" w:sz="2" w:space="0"/>
              <w:bottom w:val="single" w:color="auto" w:sz="2" w:space="0"/>
              <w:right w:val="single" w:color="auto" w:sz="12" w:space="0"/>
            </w:tcBorders>
            <w:noWrap w:val="0"/>
            <w:vAlign w:val="center"/>
          </w:tcPr>
          <w:p w14:paraId="1967CADB">
            <w:pPr>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完全理解并接受法律法规和招标文件对供应商合法经营的各类规约和责任义务要求，没有出现法律法规或招标文件规定的其他无效情形。</w:t>
            </w:r>
          </w:p>
        </w:tc>
      </w:tr>
      <w:tr w14:paraId="26EE0D8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8" w:hRule="atLeast"/>
          <w:jc w:val="center"/>
        </w:trPr>
        <w:tc>
          <w:tcPr>
            <w:tcW w:w="9519" w:type="dxa"/>
            <w:gridSpan w:val="3"/>
            <w:tcBorders>
              <w:top w:val="single" w:color="auto" w:sz="2" w:space="0"/>
              <w:left w:val="single" w:color="auto" w:sz="12" w:space="0"/>
              <w:bottom w:val="single" w:color="auto" w:sz="12" w:space="0"/>
              <w:right w:val="single" w:color="auto" w:sz="12" w:space="0"/>
            </w:tcBorders>
            <w:noWrap w:val="0"/>
            <w:vAlign w:val="center"/>
          </w:tcPr>
          <w:p w14:paraId="6578DE73">
            <w:pPr>
              <w:jc w:val="both"/>
              <w:outlineLvl w:val="1"/>
              <w:rPr>
                <w:rFonts w:hint="eastAsia" w:ascii="宋体" w:hAnsi="宋体" w:eastAsia="宋体" w:cs="宋体"/>
                <w:b/>
                <w:bCs/>
                <w:color w:val="000000"/>
                <w:sz w:val="24"/>
                <w:szCs w:val="24"/>
                <w:highlight w:val="none"/>
              </w:rPr>
            </w:pPr>
            <w:bookmarkStart w:id="127" w:name="_Toc9236"/>
            <w:bookmarkStart w:id="128" w:name="_Toc312"/>
            <w:bookmarkStart w:id="129" w:name="_Toc12078"/>
            <w:r>
              <w:rPr>
                <w:rFonts w:hint="eastAsia" w:ascii="宋体" w:hAnsi="宋体" w:eastAsia="宋体" w:cs="宋体"/>
                <w:b/>
                <w:bCs/>
                <w:color w:val="000000"/>
                <w:sz w:val="24"/>
                <w:szCs w:val="24"/>
                <w:highlight w:val="none"/>
              </w:rPr>
              <w:t>注意事项：1.出现以上项情况之一者（但不限于），不进入下一轮评审。</w:t>
            </w:r>
            <w:bookmarkEnd w:id="127"/>
            <w:bookmarkEnd w:id="128"/>
            <w:bookmarkEnd w:id="129"/>
          </w:p>
          <w:p w14:paraId="7015AFD8">
            <w:pPr>
              <w:jc w:val="both"/>
              <w:outlineLvl w:val="1"/>
              <w:rPr>
                <w:rFonts w:hint="eastAsia" w:ascii="宋体" w:hAnsi="宋体" w:eastAsia="宋体" w:cs="宋体"/>
                <w:color w:val="000000"/>
                <w:sz w:val="24"/>
                <w:szCs w:val="24"/>
                <w:highlight w:val="none"/>
              </w:rPr>
            </w:pPr>
            <w:bookmarkStart w:id="130" w:name="_Toc29509"/>
            <w:bookmarkStart w:id="131" w:name="_Toc17768"/>
            <w:bookmarkStart w:id="132" w:name="_Toc27051"/>
            <w:r>
              <w:rPr>
                <w:rFonts w:hint="eastAsia" w:ascii="宋体" w:hAnsi="宋体" w:eastAsia="宋体" w:cs="宋体"/>
                <w:b/>
                <w:bCs/>
                <w:color w:val="000000"/>
                <w:sz w:val="24"/>
                <w:szCs w:val="24"/>
                <w:highlight w:val="none"/>
              </w:rPr>
              <w:t>2.若投标文件中未对不合理报价进行说明，评标委员会应按照招标文件有关规定要求供应商提供相关资料。</w:t>
            </w:r>
            <w:bookmarkEnd w:id="130"/>
            <w:bookmarkEnd w:id="131"/>
            <w:bookmarkEnd w:id="132"/>
          </w:p>
        </w:tc>
      </w:tr>
    </w:tbl>
    <w:p w14:paraId="02F511CA">
      <w:pPr>
        <w:numPr>
          <w:ilvl w:val="0"/>
          <w:numId w:val="2"/>
        </w:numPr>
        <w:jc w:val="center"/>
        <w:rPr>
          <w:rFonts w:hint="eastAsia" w:ascii="宋体" w:hAnsi="宋体" w:eastAsia="宋体" w:cs="宋体"/>
          <w:b/>
          <w:color w:val="auto"/>
          <w:sz w:val="28"/>
          <w:szCs w:val="28"/>
          <w:highlight w:val="none"/>
        </w:rPr>
      </w:pPr>
      <w:r>
        <w:rPr>
          <w:rFonts w:hint="eastAsia" w:ascii="宋体" w:hAnsi="宋体" w:eastAsia="宋体" w:cs="宋体"/>
          <w:b/>
          <w:color w:val="000000"/>
          <w:sz w:val="28"/>
          <w:szCs w:val="28"/>
          <w:highlight w:val="none"/>
        </w:rPr>
        <w:br w:type="page"/>
      </w:r>
      <w:r>
        <w:rPr>
          <w:rFonts w:hint="eastAsia" w:ascii="宋体" w:hAnsi="宋体" w:eastAsia="宋体" w:cs="宋体"/>
          <w:b/>
          <w:color w:val="auto"/>
          <w:sz w:val="28"/>
          <w:szCs w:val="28"/>
          <w:highlight w:val="none"/>
        </w:rPr>
        <w:t>评审要素及分值一览表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775"/>
        <w:gridCol w:w="7047"/>
      </w:tblGrid>
      <w:tr w14:paraId="15575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5528FD85">
            <w:pPr>
              <w:spacing w:line="360" w:lineRule="auto"/>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评审因素</w:t>
            </w:r>
          </w:p>
        </w:tc>
        <w:tc>
          <w:tcPr>
            <w:tcW w:w="775" w:type="dxa"/>
            <w:vAlign w:val="center"/>
          </w:tcPr>
          <w:p w14:paraId="7CD019AE">
            <w:pPr>
              <w:spacing w:line="360" w:lineRule="auto"/>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分值</w:t>
            </w:r>
          </w:p>
        </w:tc>
        <w:tc>
          <w:tcPr>
            <w:tcW w:w="7047" w:type="dxa"/>
            <w:vAlign w:val="center"/>
          </w:tcPr>
          <w:p w14:paraId="36DDBE0D">
            <w:pPr>
              <w:spacing w:line="360" w:lineRule="auto"/>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评审标准</w:t>
            </w:r>
          </w:p>
        </w:tc>
      </w:tr>
      <w:tr w14:paraId="287A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22904E3F">
            <w:pPr>
              <w:spacing w:line="360" w:lineRule="auto"/>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投标价格</w:t>
            </w:r>
          </w:p>
        </w:tc>
        <w:tc>
          <w:tcPr>
            <w:tcW w:w="775" w:type="dxa"/>
            <w:vAlign w:val="center"/>
          </w:tcPr>
          <w:p w14:paraId="0544BA91">
            <w:pPr>
              <w:spacing w:line="360" w:lineRule="auto"/>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30分</w:t>
            </w:r>
          </w:p>
        </w:tc>
        <w:tc>
          <w:tcPr>
            <w:tcW w:w="7047" w:type="dxa"/>
          </w:tcPr>
          <w:p w14:paraId="34FCA899">
            <w:pPr>
              <w:pStyle w:val="2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按照财政部《政府采购货物和服务招标投标管理办法》（财政部令第87号）的有关规定：价格分采用低价优先法计算，即满足招标文件要求且投标价格最低的投标报价为评标基准价，其价格分为满分。其他供应商的价格分统一按照下列公式计算：报价得分=（评标基准价/投标报价）×价格权值</w:t>
            </w:r>
          </w:p>
          <w:p w14:paraId="6103670A">
            <w:pPr>
              <w:spacing w:line="360" w:lineRule="auto"/>
              <w:rPr>
                <w:rFonts w:hint="eastAsia" w:ascii="宋体" w:hAnsi="宋体" w:eastAsia="宋体" w:cs="宋体"/>
                <w:sz w:val="24"/>
                <w:szCs w:val="24"/>
                <w:highlight w:val="none"/>
                <w:vertAlign w:val="baseline"/>
              </w:rPr>
            </w:pPr>
            <w:r>
              <w:rPr>
                <w:rFonts w:hint="eastAsia" w:ascii="宋体" w:hAnsi="宋体" w:eastAsia="宋体" w:cs="宋体"/>
                <w:b/>
                <w:bCs/>
                <w:color w:val="000000"/>
                <w:sz w:val="24"/>
                <w:szCs w:val="24"/>
                <w:highlight w:val="none"/>
                <w:lang w:val="en-US" w:eastAsia="zh-CN"/>
              </w:rPr>
              <w:t>说明：本项目非专门面向中小企业采购，对符合要求的小型、微型企业，监狱企业，残疾人福利性单位投标报价给予10%的扣除，用扣除后的价格参加评审。</w:t>
            </w:r>
          </w:p>
        </w:tc>
      </w:tr>
      <w:tr w14:paraId="62C5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402BAA75">
            <w:pPr>
              <w:spacing w:line="360" w:lineRule="auto"/>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技术参数</w:t>
            </w:r>
          </w:p>
        </w:tc>
        <w:tc>
          <w:tcPr>
            <w:tcW w:w="775" w:type="dxa"/>
            <w:vAlign w:val="center"/>
          </w:tcPr>
          <w:p w14:paraId="17AE0A4D">
            <w:pPr>
              <w:spacing w:line="360" w:lineRule="auto"/>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22分</w:t>
            </w:r>
          </w:p>
        </w:tc>
        <w:tc>
          <w:tcPr>
            <w:tcW w:w="7047" w:type="dxa"/>
          </w:tcPr>
          <w:p w14:paraId="0B85C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根据供应商提供所投产品的技术指标（参数）及相应的证明材料（包括但不限于检测报告或官网和功能截图等技术支持性文件（资料）），经评审专家审定得分。 基本分（22分）：完全符合、响应招标文件要求，没有负偏离的得22分。</w:t>
            </w:r>
          </w:p>
          <w:p w14:paraId="08FB48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未带有“▲”的参数存在负偏离的，每条扣1分，扣完为止不得负分。</w:t>
            </w:r>
          </w:p>
          <w:p w14:paraId="1E2EC5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带有“▲”的参数存在负偏离的，每条扣2分，扣完为止不得负分。</w:t>
            </w:r>
          </w:p>
          <w:p w14:paraId="5ECA48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说明：提供《技术要求响应偏离表》，若招标文件要求提供证明材料的，须提供相关证明材料，否则视为负偏离；若没有要求提供证明材料以《技术要求响应偏离表》的响应情况为准。</w:t>
            </w:r>
          </w:p>
        </w:tc>
      </w:tr>
      <w:tr w14:paraId="3D6EA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6EB40F84">
            <w:pPr>
              <w:spacing w:line="360" w:lineRule="auto"/>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实施方案</w:t>
            </w:r>
          </w:p>
        </w:tc>
        <w:tc>
          <w:tcPr>
            <w:tcW w:w="775" w:type="dxa"/>
            <w:vAlign w:val="center"/>
          </w:tcPr>
          <w:p w14:paraId="3296E911">
            <w:pPr>
              <w:spacing w:line="360" w:lineRule="auto"/>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24分</w:t>
            </w:r>
          </w:p>
        </w:tc>
        <w:tc>
          <w:tcPr>
            <w:tcW w:w="7047" w:type="dxa"/>
          </w:tcPr>
          <w:p w14:paraId="560761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一、评审内容</w:t>
            </w:r>
          </w:p>
          <w:p w14:paraId="03641E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供应商需针对本项目提供完整的项目实施方案。内容包含：①供货组织及进度安排②对接及运输方案③安装调试方案④验收方案⑤应急方案⑥人员、物力调配安排</w:t>
            </w:r>
          </w:p>
          <w:p w14:paraId="467DBF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二、评审标准</w:t>
            </w:r>
          </w:p>
          <w:p w14:paraId="0C28FF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1、完整性：方案必须全面，对评审内容中的各项要求有详细描述；</w:t>
            </w:r>
          </w:p>
          <w:p w14:paraId="29DA8E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2、可实施性：切合本项目实际情况，提出步骤清晰、合理的方案；</w:t>
            </w:r>
          </w:p>
          <w:p w14:paraId="4B24B0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3、针对性：方案能够紧扣项目实际情况，内容科学合理。</w:t>
            </w:r>
          </w:p>
          <w:p w14:paraId="38D6FC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上述6项评审内容全部满足评审标准得24分，评审内容缺项每项扣4分，每有一项评审内容存在缺陷，根据缺陷程度扣(0-4)分，扣完为止。</w:t>
            </w:r>
          </w:p>
          <w:p w14:paraId="77C28F6A">
            <w:pPr>
              <w:pStyle w:val="2"/>
              <w:spacing w:line="360" w:lineRule="auto"/>
              <w:jc w:val="both"/>
              <w:rPr>
                <w:rFonts w:hint="eastAsia" w:ascii="宋体" w:hAnsi="宋体" w:eastAsia="宋体" w:cs="宋体"/>
                <w:sz w:val="24"/>
                <w:szCs w:val="24"/>
                <w:highlight w:val="none"/>
              </w:rPr>
            </w:pPr>
            <w:r>
              <w:rPr>
                <w:rFonts w:hint="eastAsia" w:ascii="宋体" w:hAnsi="宋体" w:eastAsia="宋体" w:cs="宋体"/>
                <w:b/>
                <w:bCs/>
                <w:color w:val="auto"/>
                <w:kern w:val="2"/>
                <w:sz w:val="24"/>
                <w:szCs w:val="24"/>
                <w:highlight w:val="none"/>
                <w:lang w:val="en-US" w:eastAsia="zh-CN" w:bidi="ar-SA"/>
              </w:rPr>
              <w:t>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r>
      <w:tr w14:paraId="1A631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3422AD24">
            <w:pPr>
              <w:spacing w:line="360" w:lineRule="auto"/>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质量保证</w:t>
            </w:r>
          </w:p>
        </w:tc>
        <w:tc>
          <w:tcPr>
            <w:tcW w:w="775" w:type="dxa"/>
            <w:vAlign w:val="center"/>
          </w:tcPr>
          <w:p w14:paraId="0C0ADCB5">
            <w:pPr>
              <w:spacing w:line="360" w:lineRule="auto"/>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8分</w:t>
            </w:r>
          </w:p>
        </w:tc>
        <w:tc>
          <w:tcPr>
            <w:tcW w:w="7047" w:type="dxa"/>
          </w:tcPr>
          <w:p w14:paraId="657860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一、评审内容</w:t>
            </w:r>
          </w:p>
          <w:p w14:paraId="5C44C7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供应商需针对本项目实际需求，提供质量保证方案。内容包含：①产品质量、使用寿命及效果②质量管理体系及保证措施。</w:t>
            </w:r>
          </w:p>
          <w:p w14:paraId="7EF24F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二、评审标准</w:t>
            </w:r>
          </w:p>
          <w:p w14:paraId="3B614B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1、完整性：方案须全面，对评审内容中的各项要求有详细描述；</w:t>
            </w:r>
          </w:p>
          <w:p w14:paraId="46934D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2、可实施性：切合本项目实际情况，实施步骤清晰、合理；</w:t>
            </w:r>
          </w:p>
          <w:p w14:paraId="379B6AFC">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3、针对性：方案能够紧扣项目实际情况，内容科学合理。</w:t>
            </w:r>
          </w:p>
          <w:p w14:paraId="5612A0E5">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上述2项评审内容全部满足评审标准得8分，评审内容缺项每项扣4分，每有一项评审内容存在缺陷，根据缺陷程度扣(0-4)分，扣完为止。</w:t>
            </w:r>
          </w:p>
          <w:p w14:paraId="403AF9B3">
            <w:pPr>
              <w:spacing w:line="360" w:lineRule="auto"/>
              <w:rPr>
                <w:rFonts w:hint="eastAsia" w:ascii="宋体" w:hAnsi="宋体" w:eastAsia="宋体" w:cs="宋体"/>
                <w:sz w:val="24"/>
                <w:szCs w:val="24"/>
                <w:highlight w:val="none"/>
                <w:vertAlign w:val="baseline"/>
              </w:rPr>
            </w:pPr>
            <w:r>
              <w:rPr>
                <w:rFonts w:hint="eastAsia" w:ascii="宋体" w:hAnsi="宋体" w:eastAsia="宋体" w:cs="宋体"/>
                <w:b/>
                <w:bCs/>
                <w:color w:val="auto"/>
                <w:kern w:val="2"/>
                <w:sz w:val="24"/>
                <w:szCs w:val="24"/>
                <w:highlight w:val="none"/>
                <w:lang w:val="en-US" w:eastAsia="zh-CN" w:bidi="ar-SA"/>
              </w:rPr>
              <w:t>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r>
      <w:tr w14:paraId="7DB9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5E8EE49C">
            <w:pPr>
              <w:spacing w:line="360" w:lineRule="auto"/>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lang w:val="en-US" w:eastAsia="zh-CN"/>
              </w:rPr>
              <w:t>售后服务方案</w:t>
            </w:r>
          </w:p>
        </w:tc>
        <w:tc>
          <w:tcPr>
            <w:tcW w:w="775" w:type="dxa"/>
            <w:vAlign w:val="center"/>
          </w:tcPr>
          <w:p w14:paraId="74786C7D">
            <w:pPr>
              <w:spacing w:line="360" w:lineRule="auto"/>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10分</w:t>
            </w:r>
          </w:p>
        </w:tc>
        <w:tc>
          <w:tcPr>
            <w:tcW w:w="7047" w:type="dxa"/>
          </w:tcPr>
          <w:p w14:paraId="7BBCF3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一、评审内容</w:t>
            </w:r>
          </w:p>
          <w:p w14:paraId="07B395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供应商需针对本项目实际需求，提供售后服务方案。内容包含：①售后服务网点的设定②售后服务人员配置③产品交付采购方后出现质量问题的响应时间④供货不及时、出现残次品等补货换货退货解决方案⑥售后服务承诺 </w:t>
            </w:r>
          </w:p>
          <w:p w14:paraId="2EC1BE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二、评审标准</w:t>
            </w:r>
          </w:p>
          <w:p w14:paraId="4F3D65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1、完整性：方案须全面，对评审内容中的各项要求有详细描述；</w:t>
            </w:r>
          </w:p>
          <w:p w14:paraId="3D5A03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2、可实施性：切合本项目实际情况，实施步骤清晰、合理；</w:t>
            </w:r>
          </w:p>
          <w:p w14:paraId="57E2ED80">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3、针对性：方案能够紧扣项目实际情况，内容科学合理。</w:t>
            </w:r>
          </w:p>
          <w:p w14:paraId="3A241252">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上述5项评审内容全部满足评审标准得10分，评审内容缺项每项扣2分，每有一项评审内容存在缺陷，根据缺陷程度扣(0-2)分，扣完为止。</w:t>
            </w:r>
          </w:p>
          <w:p w14:paraId="3EB7A6B4">
            <w:pPr>
              <w:spacing w:line="360" w:lineRule="auto"/>
              <w:rPr>
                <w:rFonts w:hint="eastAsia" w:ascii="宋体" w:hAnsi="宋体" w:eastAsia="宋体" w:cs="宋体"/>
                <w:sz w:val="24"/>
                <w:szCs w:val="24"/>
                <w:highlight w:val="none"/>
                <w:vertAlign w:val="baseline"/>
              </w:rPr>
            </w:pPr>
            <w:r>
              <w:rPr>
                <w:rFonts w:hint="eastAsia" w:ascii="宋体" w:hAnsi="宋体" w:eastAsia="宋体" w:cs="宋体"/>
                <w:b/>
                <w:bCs/>
                <w:color w:val="auto"/>
                <w:kern w:val="2"/>
                <w:sz w:val="24"/>
                <w:szCs w:val="24"/>
                <w:highlight w:val="none"/>
                <w:lang w:val="en-US" w:eastAsia="zh-CN" w:bidi="ar-SA"/>
              </w:rPr>
              <w:t>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r>
      <w:tr w14:paraId="1A253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130DD972">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业绩</w:t>
            </w:r>
          </w:p>
        </w:tc>
        <w:tc>
          <w:tcPr>
            <w:tcW w:w="775" w:type="dxa"/>
            <w:vAlign w:val="center"/>
          </w:tcPr>
          <w:p w14:paraId="730D66F2">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6分</w:t>
            </w:r>
          </w:p>
        </w:tc>
        <w:tc>
          <w:tcPr>
            <w:tcW w:w="7047" w:type="dxa"/>
          </w:tcPr>
          <w:p w14:paraId="15501E46">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供应商提供2023年1月至今类似项目业绩，提供1份得2分，满分6分。（提供合同复印件，以签订时间为准）</w:t>
            </w:r>
          </w:p>
          <w:p w14:paraId="124F6571">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说明:对于提供合同不清晰、信息不全，字体有明显修改等现象，视为无效业绩。</w:t>
            </w:r>
          </w:p>
        </w:tc>
      </w:tr>
    </w:tbl>
    <w:p w14:paraId="04E69623">
      <w:pPr>
        <w:rPr>
          <w:rFonts w:hint="eastAsia" w:ascii="宋体" w:hAnsi="宋体" w:eastAsia="宋体" w:cs="宋体"/>
          <w:highlight w:val="none"/>
        </w:rPr>
      </w:pPr>
    </w:p>
    <w:p w14:paraId="72B90083">
      <w:pPr>
        <w:widowControl w:val="0"/>
        <w:spacing w:line="44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注：1）评委打分超过得分界限或未按本方法赋分时，该评委的打分无效。</w:t>
      </w:r>
    </w:p>
    <w:p w14:paraId="784F214F">
      <w:pPr>
        <w:widowControl w:val="0"/>
        <w:spacing w:line="44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2）缺项漏项，或仅有标题无实质性内容的该项计0分。</w:t>
      </w:r>
    </w:p>
    <w:p w14:paraId="62BA75FA">
      <w:pPr>
        <w:widowControl w:val="0"/>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3）各种计算数字均保留两位小数，第三位“四舍五入”。</w:t>
      </w:r>
    </w:p>
    <w:p w14:paraId="60A7EDEE">
      <w:pPr>
        <w:widowControl w:val="0"/>
        <w:spacing w:line="440" w:lineRule="exact"/>
        <w:ind w:firstLine="482" w:firstLineChars="200"/>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3）特殊情况处理</w:t>
      </w:r>
      <w:r>
        <w:rPr>
          <w:rFonts w:hint="eastAsia" w:ascii="宋体" w:hAnsi="宋体" w:eastAsia="宋体" w:cs="宋体"/>
          <w:color w:val="000000"/>
          <w:sz w:val="24"/>
          <w:szCs w:val="24"/>
          <w:highlight w:val="none"/>
        </w:rPr>
        <w:t>：</w:t>
      </w:r>
    </w:p>
    <w:p w14:paraId="5D154B3F">
      <w:pPr>
        <w:widowControl w:val="0"/>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a、当供应商某评分项出现未报、漏报或零报价时，该分项得零分，并不参与投标报价分的计算。</w:t>
      </w:r>
    </w:p>
    <w:p w14:paraId="7B595348">
      <w:pPr>
        <w:widowControl w:val="0"/>
        <w:spacing w:line="44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b、若出现综合得分相同时，投标报价得分高者为第一中标候选人，若投标报价得分相同，</w:t>
      </w:r>
      <w:r>
        <w:rPr>
          <w:rFonts w:hint="eastAsia" w:ascii="宋体" w:hAnsi="宋体" w:eastAsia="宋体" w:cs="宋体"/>
          <w:color w:val="000000"/>
          <w:sz w:val="24"/>
          <w:szCs w:val="24"/>
          <w:highlight w:val="none"/>
          <w:lang w:val="en-US" w:eastAsia="zh-CN"/>
        </w:rPr>
        <w:t>实施方案</w:t>
      </w:r>
      <w:r>
        <w:rPr>
          <w:rFonts w:hint="eastAsia" w:ascii="宋体" w:hAnsi="宋体" w:eastAsia="宋体" w:cs="宋体"/>
          <w:color w:val="000000"/>
          <w:sz w:val="24"/>
          <w:szCs w:val="24"/>
          <w:highlight w:val="none"/>
        </w:rPr>
        <w:t>得分高者为第一中标候选人，若上述两项得分相同，则由全体评标委员会成员无记名投票，得票高者为第一中标候选人。</w:t>
      </w:r>
    </w:p>
    <w:p w14:paraId="4E0621BE">
      <w:pPr>
        <w:widowControl w:val="0"/>
        <w:spacing w:line="440" w:lineRule="exact"/>
        <w:ind w:firstLine="48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rPr>
        <w:t>c、评标过程中，若出现本评标方法以外的特殊情况时，将暂停评标，待评委商榷后再进行复会。</w:t>
      </w:r>
    </w:p>
    <w:p w14:paraId="38A1DDDD">
      <w:pPr>
        <w:keepNext w:val="0"/>
        <w:keepLines w:val="0"/>
        <w:pageBreakBefore w:val="0"/>
        <w:kinsoku/>
        <w:wordWrap/>
        <w:overflowPunct/>
        <w:topLinePunct w:val="0"/>
        <w:autoSpaceDE/>
        <w:autoSpaceDN/>
        <w:bidi w:val="0"/>
        <w:adjustRightInd/>
        <w:snapToGrid/>
        <w:spacing w:line="324" w:lineRule="auto"/>
        <w:jc w:val="center"/>
        <w:textAlignment w:val="auto"/>
        <w:outlineLvl w:val="1"/>
        <w:rPr>
          <w:rFonts w:hint="eastAsia" w:ascii="宋体" w:hAnsi="宋体" w:eastAsia="宋体" w:cs="宋体"/>
          <w:b/>
          <w:bCs/>
          <w:color w:val="000000"/>
          <w:sz w:val="28"/>
          <w:szCs w:val="28"/>
          <w:highlight w:val="none"/>
        </w:rPr>
      </w:pPr>
      <w:bookmarkStart w:id="133" w:name="_Toc31539"/>
      <w:bookmarkStart w:id="134" w:name="_Toc31366"/>
      <w:bookmarkStart w:id="135" w:name="_Toc75385979"/>
      <w:bookmarkStart w:id="136" w:name="_Toc82445622"/>
      <w:bookmarkStart w:id="137" w:name="_Toc12909"/>
      <w:r>
        <w:rPr>
          <w:rFonts w:hint="eastAsia" w:ascii="宋体" w:hAnsi="宋体" w:eastAsia="宋体" w:cs="宋体"/>
          <w:b/>
          <w:bCs/>
          <w:color w:val="000000"/>
          <w:sz w:val="28"/>
          <w:szCs w:val="28"/>
          <w:highlight w:val="none"/>
        </w:rPr>
        <w:t>4.政府采购政策评分标准</w:t>
      </w:r>
      <w:bookmarkEnd w:id="133"/>
      <w:bookmarkEnd w:id="134"/>
      <w:bookmarkEnd w:id="135"/>
      <w:bookmarkEnd w:id="136"/>
      <w:bookmarkEnd w:id="137"/>
    </w:p>
    <w:p w14:paraId="365AB807">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 4.1关于印发《政府采购促进中小企业发展管理办法》的通知--财库〔2020〕46号</w:t>
      </w:r>
    </w:p>
    <w:p w14:paraId="7D8DDB71">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  在政府采购活动中，供应商提供的货物、工程或者服务符合下列情形的，享受《办法》规定的中小企业扶持政策:</w:t>
      </w:r>
    </w:p>
    <w:p w14:paraId="71CAF5C2">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(一)在货物采购项目中，货物由中小企业制造，即货物由中小企业生产且使用该中小企业商号或者注册商标；</w:t>
      </w:r>
    </w:p>
    <w:p w14:paraId="3676C5BA">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(二)在工程采购项目中，工程由中小企业承建，即工程施工单位为中小企业；</w:t>
      </w:r>
    </w:p>
    <w:p w14:paraId="164F3D49">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(三)在服务采购项目中，服务由中小企业承接，即提供服务的人员为中小企业依照《中华人民共和国民法典》订立劳动合同的从业人员。</w:t>
      </w:r>
    </w:p>
    <w:p w14:paraId="76193A3D">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在货物采购项目中，供应商提供的货物既有中小企业制造货物，也有大型企业制造货物的，不享受《办法》规定的中小企业扶持政策。</w:t>
      </w:r>
    </w:p>
    <w:p w14:paraId="079ADD67">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以联合体形式参加政府采购活动，联合体各方均为中小企业的，联合体视同中小企业。其中，联合体各方均为小微企业的，联合体视同小微企业。</w:t>
      </w:r>
    </w:p>
    <w:p w14:paraId="03DDBDC8">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依据《办法》规定享受扶持政策获得政府采购合同的，小微企业不得将合同分包给大中型企业，中型企业不得将合同分包给大型企业。</w:t>
      </w:r>
    </w:p>
    <w:p w14:paraId="57DA0DA7">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政府采购促进中小企业发展管理办法》的通知（财库〔2020〕46号）规定，参加政府采购活动的中小企业应当提供《中小企业声明函》（见附件）。供应商提供的《中小企业声明函》资料必须真实，否则，按照有关规定予以处理。</w:t>
      </w:r>
    </w:p>
    <w:p w14:paraId="395091BB">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评标委员会根据《政府采购促进中小企业发展管理办法》的相关规定，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5968541">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2E762B48">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4.2关于印发《关于进一步加大政府采购支持中小企业力度的通知》--财库[2022]19号</w:t>
      </w:r>
    </w:p>
    <w:p w14:paraId="35D1E3D3">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为贯彻落实《国务院关于印发扎实稳住经济一揽子政策措施的通知》（国发〔2022〕12号）有关要求，做好财政政策支持中小企业纾困解难工作，助力经济平稳健康发展，现就加大政府采购支持中小企业力度有关事项通知如下：</w:t>
      </w:r>
    </w:p>
    <w:p w14:paraId="71500C87">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严格落实支持中小企业政府采购政策。各地区、各部门要按照国务院的统一部署，认真落实《政府采购促进中小企业发展管理办法》（财库〔2020〕46号）的规定，规范资格条件设置，降低中小企业参与门槛，灵活采取项目整体预留、合理预留采购包、要求大企业与中小企业组成联合体、要求大企业向中小企业分包等形式，确保中小企业合同份额。要通过提高预付款比例、引入信用担保、支持中小企业开展合同融资、免费提供电子采购文件等方式，为中小企业参与采购活动提供便利。要严格按规定及时支付采购资金，不得收取没有法律法规依据的保证金，有效减轻中小企业资金压力。</w:t>
      </w:r>
    </w:p>
    <w:p w14:paraId="17392133">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调整对小微企业的价格评审优惠幅度。货物服务采购项目给予小微企业的价格扣除优惠，由财库〔2020〕46号文件规定的6%—10%提高至10%—20%。大中型企业与小微企业组成联合体或者大中型企业向小微企业分包的，评审优惠幅度由2%—3%提高至4%—6%。政府采购工程的价格评审优惠按照财库〔2020〕46号文件的规定执行。</w:t>
      </w:r>
    </w:p>
    <w:p w14:paraId="6F4BA085">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提高政府采购工程面向中小企业预留份额。400万元以下的工程采购项目适宜由中小企业提供的，采购人应当专门面向中小企业采购。超过400万元的工程采购项目中适宜由中小企业提供的，在坚持公开公正、公平竞争原则和统一质量标准的前提下，2022年下半年面向中小企业的预留份额由30%以上阶段性提高至40%以上。</w:t>
      </w:r>
    </w:p>
    <w:p w14:paraId="7B7CDFE0">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4.3财政部司法部关于政府采购支持监狱企业发展有关问题的通知--财库〔2014〕68号 </w:t>
      </w:r>
    </w:p>
    <w:p w14:paraId="3F55413B">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关于政府采购支持监狱企业发展有关问题的通知》（财库（2014）68号）规定，在政府采购活动中，监狱企业视同小型、微型企业，享受政府采购促进中小企业发展的政府采购政策。监狱企业参加政府采购活动时。</w:t>
      </w:r>
    </w:p>
    <w:p w14:paraId="0265A4CB">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  4.4《关于政府采购优先购买福利性企业产品和服务的意见》（陕民发（2015）1号）</w:t>
      </w:r>
    </w:p>
    <w:p w14:paraId="599C3883">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根据《关于政府采购优先购买福利性企业产品和服务的意见》（陕民发（2015）1号）规定，在政府采购活动中，本省福利性企业享受我省规定的采购扶持政策。</w:t>
      </w:r>
    </w:p>
    <w:p w14:paraId="136B5B04">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 xml:space="preserve"> 4.5《关于调整优化节能产品、环境标志产品政府采购执行机制的通知》--（财库[2019]9号） </w:t>
      </w:r>
    </w:p>
    <w:p w14:paraId="6D083938">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根据《关于调整优化节能产品、环境标志产品政府采购执行机制的通知》--（财库[2019]9号）规定，政府采购属于品目清单中产品时，在技术、服务等指标同等条件下，应当优先采购品目清单所列的产品。</w:t>
      </w:r>
    </w:p>
    <w:p w14:paraId="13A2D20A">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在招标时供应商应提供有效证明材料（证明材料须加盖供应商红色公章）。（注：节能产品、环境标志产品是指政府优先采购和强制采购的产品类别及所依据的相关标准规范的“品目清单”中的有效期内的产品）。</w:t>
      </w:r>
    </w:p>
    <w:p w14:paraId="6FBF1CF5">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4.6《环境标志产品政府采购实施的意见》--财库[2006]90号</w:t>
      </w:r>
    </w:p>
    <w:p w14:paraId="4CAF82D7">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根据《环境标志产品政府采购实施的意见》--财库[2006]90号规定，采购人采购的产品在品目清单中并具有认证证书的，在性能、技术、服务等指标同等条件下，应当优先采购清单中的产品。</w:t>
      </w:r>
    </w:p>
    <w:p w14:paraId="13965D15">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产品属于品目清单范围中实施政府强制采购的，需提供依据国家确定的认证机构出具的、处于有效期之内的节能产品、环境标志产品认证证书，属于品目清单范围中实施政府优先采购的，依据提供的品目清单和认证证书实施政府优先采购。</w:t>
      </w:r>
    </w:p>
    <w:p w14:paraId="77FD114B">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4.7《关于促进残疾人就业政府采购政策的通知》--财库〔2017〕141号</w:t>
      </w:r>
    </w:p>
    <w:p w14:paraId="1960BCEC">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符合条件的残疾人福利性单位在参加政府采购活动时，应提供本通知规定的《残疾人福利性单位声明函》，并对声明的真实性负责。</w:t>
      </w:r>
    </w:p>
    <w:p w14:paraId="4004AFA4">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4BEBD23">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4.8根据《财政部国务院扶贫办关于运用政府采购政策支持脱贫攻坚的通知》--财库〔2019〕27号规定，在政府采购活动中应落实以下政策：</w:t>
      </w:r>
    </w:p>
    <w:p w14:paraId="37128194">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1、各级预算单位要充分认识运用好政府采购政策支持打赢脱贫攻坚战的重要性，运用好政府采购这一财政调控手段支持打赢脱贫攻坚战，优先采购贫困地区农副产品和物业服务。</w:t>
      </w:r>
    </w:p>
    <w:p w14:paraId="44C01E1E">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4"/>
          <w:szCs w:val="24"/>
          <w:highlight w:val="none"/>
        </w:rPr>
        <w:t>2、各预算单位采购农副产品的，同等条件下应优先采购贫困地区农副产品。使用财政资金采购物业服务的，有条件的应当优先采购注册地在832个国家级贫困县域内，且聘用建档立卡贫困县人员物业公司提供的物业服务。</w:t>
      </w:r>
    </w:p>
    <w:p w14:paraId="68316B7B">
      <w:pPr>
        <w:keepNext w:val="0"/>
        <w:keepLines w:val="0"/>
        <w:pageBreakBefore w:val="0"/>
        <w:kinsoku/>
        <w:wordWrap/>
        <w:overflowPunct/>
        <w:topLinePunct w:val="0"/>
        <w:autoSpaceDE/>
        <w:autoSpaceDN/>
        <w:bidi w:val="0"/>
        <w:adjustRightInd/>
        <w:snapToGrid/>
        <w:spacing w:line="324" w:lineRule="auto"/>
        <w:jc w:val="center"/>
        <w:textAlignment w:val="auto"/>
        <w:outlineLvl w:val="1"/>
        <w:rPr>
          <w:rFonts w:hint="eastAsia" w:ascii="宋体" w:hAnsi="宋体" w:eastAsia="宋体" w:cs="宋体"/>
          <w:b/>
          <w:color w:val="000000"/>
          <w:sz w:val="28"/>
          <w:szCs w:val="28"/>
          <w:highlight w:val="none"/>
        </w:rPr>
      </w:pPr>
      <w:bookmarkStart w:id="138" w:name="_Toc18521"/>
      <w:bookmarkStart w:id="139" w:name="_Toc82445623"/>
      <w:bookmarkStart w:id="140" w:name="_Toc5301"/>
      <w:bookmarkStart w:id="141" w:name="_Toc25727"/>
      <w:bookmarkStart w:id="142" w:name="_Toc75385980"/>
      <w:r>
        <w:rPr>
          <w:rFonts w:hint="eastAsia" w:ascii="宋体" w:hAnsi="宋体" w:eastAsia="宋体" w:cs="宋体"/>
          <w:b/>
          <w:bCs/>
          <w:color w:val="000000"/>
          <w:sz w:val="28"/>
          <w:szCs w:val="28"/>
          <w:highlight w:val="none"/>
        </w:rPr>
        <w:t>5.定标</w:t>
      </w:r>
      <w:bookmarkEnd w:id="138"/>
      <w:bookmarkEnd w:id="139"/>
      <w:bookmarkEnd w:id="140"/>
      <w:bookmarkEnd w:id="141"/>
      <w:bookmarkEnd w:id="142"/>
    </w:p>
    <w:p w14:paraId="5B940AA9">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5.1定标程序</w:t>
      </w:r>
    </w:p>
    <w:p w14:paraId="77908FD6">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（1）评标委员会依据评标办法，经过初审、澄清、比较与评价等程序后，在最大限度满足招标文件实质性要求前提下进行综合评审，以评标总得分最高到低的顺序推荐3名以上中标候选人，并编写评标报告。</w:t>
      </w:r>
    </w:p>
    <w:p w14:paraId="0C2E823C">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（2）评审报告是评标委员会根据全体评标成员签字的原始评标记录和评标结果编写的报告，其主要内容包括：</w:t>
      </w:r>
    </w:p>
    <w:p w14:paraId="1B948C10">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a.招标公告刊登的媒体名称、开标日期和地点；</w:t>
      </w:r>
    </w:p>
    <w:p w14:paraId="6D0BE967">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b.投标供应商名单和评标委员会成员名单；</w:t>
      </w:r>
    </w:p>
    <w:p w14:paraId="4AE790A6">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c.评标方法；</w:t>
      </w:r>
    </w:p>
    <w:p w14:paraId="2989B394">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d.开标记录和评标情况及说明，包括投标无效供应商名单及原因；</w:t>
      </w:r>
    </w:p>
    <w:p w14:paraId="3EC74AA4">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e.评标结果，确定的中标候选人名单或者经采购人委托直接确定的中标供应商；</w:t>
      </w:r>
    </w:p>
    <w:p w14:paraId="484BB8C9">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f.其他需要说明的情况，包括评标过程中投标供应商根据评标委员会要求进行的澄清、说明或者补正，评标委员会成员的更换等。</w:t>
      </w:r>
    </w:p>
    <w:p w14:paraId="553A5F74">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评标委员会成员应当在评标报告上签字，对自己的评审意见承担法律责任。评标委员会成员对评标报告有异议的，评标委员会按照少数服从多数的原则推荐中标候选人。对评标报告有异议的，应当在评标报告上签署不同意见并说明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14:paraId="2DDC9808">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14:paraId="187D3789">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采购代理机构应当自评审结束之日起2个工作日内将评审报告送交采购人。采购人在收到评审报告5个工作日内，从评审报告推荐的中标候选人中，以评标总分最高的供应商作为中标人，向采购代理机构出具《定标复函》；逾期未确定中标单位且不提出异议的，视为确定评标报告推荐的评标得分最高的供应商为中标人。</w:t>
      </w:r>
    </w:p>
    <w:p w14:paraId="1CAC2B40">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（6）采购代理机构接到的《定标复函》后，在2个工作日内，将中标结果在陕西省政府采购网上进行公告。公告发布1个工作日，其他供应商若有异议，按《政府采购法》第52条执行。</w:t>
      </w:r>
    </w:p>
    <w:p w14:paraId="63107C25">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rPr>
        <w:t>中标人确定后，采购人和采购代理机构对未中标原因不作任何解释，投标文件不予退还（含纸质及电子版文件）。</w:t>
      </w:r>
    </w:p>
    <w:p w14:paraId="034AD5EE">
      <w:pPr>
        <w:keepNext w:val="0"/>
        <w:keepLines w:val="0"/>
        <w:pageBreakBefore w:val="0"/>
        <w:kinsoku/>
        <w:wordWrap/>
        <w:overflowPunct/>
        <w:topLinePunct w:val="0"/>
        <w:autoSpaceDE/>
        <w:autoSpaceDN/>
        <w:bidi w:val="0"/>
        <w:adjustRightInd/>
        <w:snapToGrid/>
        <w:spacing w:line="324" w:lineRule="auto"/>
        <w:jc w:val="center"/>
        <w:textAlignment w:val="auto"/>
        <w:outlineLvl w:val="1"/>
        <w:rPr>
          <w:rFonts w:hint="eastAsia" w:ascii="宋体" w:hAnsi="宋体" w:eastAsia="宋体" w:cs="宋体"/>
          <w:b/>
          <w:color w:val="000000"/>
          <w:sz w:val="28"/>
          <w:szCs w:val="28"/>
          <w:highlight w:val="none"/>
        </w:rPr>
      </w:pPr>
      <w:bookmarkStart w:id="143" w:name="_Toc75385981"/>
      <w:bookmarkStart w:id="144" w:name="_Toc82445624"/>
      <w:bookmarkStart w:id="145" w:name="_Toc19619"/>
      <w:bookmarkStart w:id="146" w:name="_Toc2187"/>
      <w:bookmarkStart w:id="147" w:name="_Toc29837"/>
      <w:r>
        <w:rPr>
          <w:rFonts w:hint="eastAsia" w:ascii="宋体" w:hAnsi="宋体" w:eastAsia="宋体" w:cs="宋体"/>
          <w:b/>
          <w:color w:val="000000"/>
          <w:sz w:val="28"/>
          <w:szCs w:val="28"/>
          <w:highlight w:val="none"/>
        </w:rPr>
        <w:t>6.投标无效的情形：</w:t>
      </w:r>
      <w:bookmarkEnd w:id="143"/>
      <w:bookmarkEnd w:id="144"/>
      <w:bookmarkEnd w:id="145"/>
      <w:bookmarkEnd w:id="146"/>
      <w:bookmarkEnd w:id="147"/>
    </w:p>
    <w:p w14:paraId="42F5EB3B">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6.1投标文件未按招标文件要求签署、盖章及装订密封的；</w:t>
      </w:r>
    </w:p>
    <w:p w14:paraId="68A8570D">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6.2不具备招标文件中规定的资格要求的；</w:t>
      </w:r>
    </w:p>
    <w:p w14:paraId="018E0ED3">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6.3报价超过招标文件中规定的预算金额的，以及投标文件报价出现需要修正情形，但供应商对修正后的报价不予确认的；</w:t>
      </w:r>
    </w:p>
    <w:p w14:paraId="5C21DAA3">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6.4投标文件含有采购人不能接受的附加条件的；</w:t>
      </w:r>
    </w:p>
    <w:p w14:paraId="040A4433">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6.5提供虚假材料谋取中标的；</w:t>
      </w:r>
    </w:p>
    <w:p w14:paraId="402E3AF0">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6.6采取不正当手段诋毁、排挤其他供应商的；</w:t>
      </w:r>
    </w:p>
    <w:p w14:paraId="304C8C4B">
      <w:pPr>
        <w:keepNext w:val="0"/>
        <w:keepLines w:val="0"/>
        <w:pageBreakBefore w:val="0"/>
        <w:numPr>
          <w:ilvl w:val="0"/>
          <w:numId w:val="0"/>
        </w:numPr>
        <w:kinsoku/>
        <w:wordWrap/>
        <w:overflowPunct/>
        <w:topLinePunct w:val="0"/>
        <w:autoSpaceDE/>
        <w:autoSpaceDN/>
        <w:bidi w:val="0"/>
        <w:adjustRightInd/>
        <w:snapToGrid/>
        <w:spacing w:line="324" w:lineRule="auto"/>
        <w:ind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6.7法律、法规和招标文件规定的其他无效情形；</w:t>
      </w:r>
    </w:p>
    <w:p w14:paraId="44A998E6">
      <w:pPr>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6.8不响应第四部分要求；</w:t>
      </w:r>
    </w:p>
    <w:p w14:paraId="558B8A6F">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6.9单位负责人为同一人或者存在直接控股、管理关系的不同供应商，参加同一合同项下的政府采购活动。</w:t>
      </w:r>
    </w:p>
    <w:p w14:paraId="60A6D59F">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6.10评标委员会认为供应商的报价明显低于其他通过符合性审查供应商的报价，有可能影响产品质量或者不能诚信履约的，要求供应商在评标现场合理的时间内提供书面说明（必要时提交相关证明材料），供应商不能证明其报价合理性的。</w:t>
      </w:r>
    </w:p>
    <w:p w14:paraId="147CF42F">
      <w:pPr>
        <w:spacing w:line="360" w:lineRule="auto"/>
        <w:ind w:firstLine="480" w:firstLineChars="200"/>
        <w:jc w:val="both"/>
        <w:outlineLvl w:val="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6.11其他招标文件规定的情形。</w:t>
      </w:r>
    </w:p>
    <w:p w14:paraId="2618BB6F">
      <w:pPr>
        <w:spacing w:line="360" w:lineRule="auto"/>
        <w:ind w:firstLine="480" w:firstLineChars="200"/>
        <w:jc w:val="center"/>
        <w:outlineLvl w:val="0"/>
        <w:rPr>
          <w:rFonts w:hint="eastAsia" w:ascii="宋体" w:hAnsi="宋体" w:eastAsia="宋体" w:cs="宋体"/>
          <w:color w:val="auto"/>
          <w:highlight w:val="none"/>
          <w:shd w:val="clear" w:color="auto" w:fill="auto"/>
        </w:rPr>
      </w:pPr>
      <w:r>
        <w:rPr>
          <w:rFonts w:hint="eastAsia" w:ascii="宋体" w:hAnsi="宋体" w:eastAsia="宋体" w:cs="宋体"/>
          <w:color w:val="000000"/>
          <w:sz w:val="24"/>
          <w:szCs w:val="24"/>
          <w:highlight w:val="none"/>
        </w:rPr>
        <w:br w:type="page"/>
      </w:r>
      <w:bookmarkStart w:id="148" w:name="_Toc3138"/>
      <w:bookmarkStart w:id="149" w:name="_Toc32001"/>
      <w:bookmarkStart w:id="150" w:name="_Toc31607"/>
      <w:bookmarkStart w:id="151" w:name="_Toc524440144"/>
      <w:bookmarkStart w:id="152" w:name="_Toc5810"/>
      <w:r>
        <w:rPr>
          <w:rFonts w:hint="eastAsia" w:ascii="宋体" w:hAnsi="宋体" w:eastAsia="宋体" w:cs="宋体"/>
          <w:b/>
          <w:color w:val="auto"/>
          <w:sz w:val="32"/>
          <w:szCs w:val="32"/>
          <w:highlight w:val="none"/>
          <w:shd w:val="clear" w:color="auto" w:fill="auto"/>
        </w:rPr>
        <w:t>第</w:t>
      </w:r>
      <w:r>
        <w:rPr>
          <w:rFonts w:hint="eastAsia" w:ascii="宋体" w:hAnsi="宋体" w:eastAsia="宋体" w:cs="宋体"/>
          <w:b/>
          <w:color w:val="auto"/>
          <w:sz w:val="32"/>
          <w:szCs w:val="32"/>
          <w:highlight w:val="none"/>
          <w:shd w:val="clear" w:color="auto" w:fill="auto"/>
          <w:lang w:val="en-US" w:eastAsia="zh-CN"/>
        </w:rPr>
        <w:t>四</w:t>
      </w:r>
      <w:r>
        <w:rPr>
          <w:rFonts w:hint="eastAsia" w:ascii="宋体" w:hAnsi="宋体" w:eastAsia="宋体" w:cs="宋体"/>
          <w:b/>
          <w:color w:val="auto"/>
          <w:sz w:val="32"/>
          <w:szCs w:val="32"/>
          <w:highlight w:val="none"/>
          <w:shd w:val="clear" w:color="auto" w:fill="auto"/>
          <w:lang w:eastAsia="zh-CN"/>
        </w:rPr>
        <w:t>章</w:t>
      </w:r>
      <w:r>
        <w:rPr>
          <w:rFonts w:hint="eastAsia" w:ascii="宋体" w:hAnsi="宋体" w:eastAsia="宋体" w:cs="宋体"/>
          <w:b/>
          <w:color w:val="auto"/>
          <w:sz w:val="32"/>
          <w:szCs w:val="32"/>
          <w:highlight w:val="none"/>
          <w:shd w:val="clear" w:color="auto" w:fill="auto"/>
        </w:rPr>
        <w:t xml:space="preserve">  </w:t>
      </w:r>
      <w:bookmarkStart w:id="153" w:name="OLE_LINK10"/>
      <w:r>
        <w:rPr>
          <w:rFonts w:hint="eastAsia" w:ascii="宋体" w:hAnsi="宋体" w:eastAsia="宋体" w:cs="宋体"/>
          <w:b/>
          <w:color w:val="auto"/>
          <w:sz w:val="32"/>
          <w:szCs w:val="32"/>
          <w:highlight w:val="none"/>
          <w:shd w:val="clear" w:color="auto" w:fill="auto"/>
          <w:lang w:val="en-US" w:eastAsia="zh-CN"/>
        </w:rPr>
        <w:t>采购</w:t>
      </w:r>
      <w:r>
        <w:rPr>
          <w:rFonts w:hint="eastAsia" w:ascii="宋体" w:hAnsi="宋体" w:eastAsia="宋体" w:cs="宋体"/>
          <w:b/>
          <w:color w:val="auto"/>
          <w:sz w:val="32"/>
          <w:szCs w:val="32"/>
          <w:highlight w:val="none"/>
          <w:shd w:val="clear" w:color="auto" w:fill="auto"/>
        </w:rPr>
        <w:t>内容及</w:t>
      </w:r>
      <w:r>
        <w:rPr>
          <w:rFonts w:hint="eastAsia" w:ascii="宋体" w:hAnsi="宋体" w:eastAsia="宋体" w:cs="宋体"/>
          <w:b/>
          <w:color w:val="auto"/>
          <w:sz w:val="32"/>
          <w:szCs w:val="32"/>
          <w:highlight w:val="none"/>
          <w:shd w:val="clear" w:color="auto" w:fill="auto"/>
          <w:lang w:val="en-US" w:eastAsia="zh-CN"/>
        </w:rPr>
        <w:t>技术</w:t>
      </w:r>
      <w:r>
        <w:rPr>
          <w:rFonts w:hint="eastAsia" w:ascii="宋体" w:hAnsi="宋体" w:eastAsia="宋体" w:cs="宋体"/>
          <w:b/>
          <w:color w:val="auto"/>
          <w:sz w:val="32"/>
          <w:szCs w:val="32"/>
          <w:highlight w:val="none"/>
          <w:shd w:val="clear" w:color="auto" w:fill="auto"/>
        </w:rPr>
        <w:t>要求</w:t>
      </w:r>
      <w:bookmarkEnd w:id="148"/>
      <w:bookmarkEnd w:id="149"/>
      <w:bookmarkEnd w:id="150"/>
      <w:bookmarkEnd w:id="151"/>
      <w:bookmarkEnd w:id="152"/>
      <w:bookmarkEnd w:id="153"/>
    </w:p>
    <w:p w14:paraId="588507B2">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一、项目概况</w:t>
      </w:r>
    </w:p>
    <w:p w14:paraId="0648624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1、项目名称：咸阳市秦都区人民法院档案信息化设施设备项目  </w:t>
      </w:r>
    </w:p>
    <w:p w14:paraId="31863B86">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2、采购人：咸阳市秦都区人民法院</w:t>
      </w:r>
    </w:p>
    <w:p w14:paraId="13C917AA">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3、供货地点：采购人指定地点</w:t>
      </w:r>
    </w:p>
    <w:p w14:paraId="570EBB5D">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4、资金来源：财政资金</w:t>
      </w:r>
    </w:p>
    <w:p w14:paraId="7E88BFA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5、供货期限要求：自合同签订之日起30日历天</w:t>
      </w:r>
    </w:p>
    <w:p w14:paraId="4CF2FFF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6、质量标准：符合国家及行业质量验收合格标准及本项目采购要求</w:t>
      </w:r>
    </w:p>
    <w:p w14:paraId="27E1CF4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7、质保期：</w:t>
      </w:r>
      <w:r>
        <w:rPr>
          <w:rFonts w:hint="eastAsia" w:ascii="宋体" w:hAnsi="宋体" w:eastAsia="宋体" w:cs="宋体"/>
          <w:color w:val="auto"/>
          <w:sz w:val="24"/>
          <w:szCs w:val="24"/>
          <w:highlight w:val="none"/>
          <w:shd w:val="clear" w:color="auto" w:fill="auto"/>
          <w:lang w:val="en-US" w:eastAsia="zh-CN"/>
        </w:rPr>
        <w:t>终验合格后12个月</w:t>
      </w:r>
    </w:p>
    <w:p w14:paraId="04AD9F8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二、采购内容</w:t>
      </w:r>
    </w:p>
    <w:tbl>
      <w:tblPr>
        <w:tblStyle w:val="16"/>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
        <w:gridCol w:w="1239"/>
        <w:gridCol w:w="1538"/>
        <w:gridCol w:w="2752"/>
        <w:gridCol w:w="1157"/>
        <w:gridCol w:w="1150"/>
        <w:gridCol w:w="657"/>
      </w:tblGrid>
      <w:tr w14:paraId="35E1E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443" w:type="dxa"/>
            <w:noWrap/>
            <w:vAlign w:val="center"/>
          </w:tcPr>
          <w:p w14:paraId="271426FF">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239" w:type="dxa"/>
            <w:noWrap/>
            <w:vAlign w:val="center"/>
          </w:tcPr>
          <w:p w14:paraId="0E2D5B35">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项目</w:t>
            </w:r>
          </w:p>
        </w:tc>
        <w:tc>
          <w:tcPr>
            <w:tcW w:w="1538" w:type="dxa"/>
            <w:noWrap/>
            <w:vAlign w:val="center"/>
          </w:tcPr>
          <w:p w14:paraId="7DE58ADD">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规格</w:t>
            </w:r>
          </w:p>
        </w:tc>
        <w:tc>
          <w:tcPr>
            <w:tcW w:w="2752" w:type="dxa"/>
            <w:noWrap/>
            <w:vAlign w:val="center"/>
          </w:tcPr>
          <w:p w14:paraId="73AC1F7D">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功能配置描述</w:t>
            </w:r>
          </w:p>
        </w:tc>
        <w:tc>
          <w:tcPr>
            <w:tcW w:w="1157" w:type="dxa"/>
            <w:noWrap/>
            <w:vAlign w:val="center"/>
          </w:tcPr>
          <w:p w14:paraId="71C9267A">
            <w:pPr>
              <w:widowControl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单位</w:t>
            </w:r>
          </w:p>
        </w:tc>
        <w:tc>
          <w:tcPr>
            <w:tcW w:w="1150" w:type="dxa"/>
            <w:noWrap/>
            <w:vAlign w:val="center"/>
          </w:tcPr>
          <w:p w14:paraId="4EEBCDB2">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数量</w:t>
            </w:r>
          </w:p>
        </w:tc>
        <w:tc>
          <w:tcPr>
            <w:tcW w:w="657" w:type="dxa"/>
            <w:noWrap/>
            <w:vAlign w:val="center"/>
          </w:tcPr>
          <w:p w14:paraId="3BB0E600">
            <w:pPr>
              <w:widowControl w:val="0"/>
              <w:jc w:val="cente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备注</w:t>
            </w:r>
          </w:p>
        </w:tc>
      </w:tr>
      <w:tr w14:paraId="0ED1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3" w:hRule="atLeast"/>
          <w:jc w:val="center"/>
        </w:trPr>
        <w:tc>
          <w:tcPr>
            <w:tcW w:w="443" w:type="dxa"/>
            <w:vMerge w:val="restart"/>
            <w:noWrap/>
            <w:vAlign w:val="center"/>
          </w:tcPr>
          <w:p w14:paraId="56D3967F">
            <w:pPr>
              <w:widowControl w:val="0"/>
              <w:numPr>
                <w:ilvl w:val="0"/>
                <w:numId w:val="3"/>
              </w:numPr>
              <w:jc w:val="center"/>
              <w:rPr>
                <w:rFonts w:hint="eastAsia" w:ascii="宋体" w:hAnsi="宋体" w:eastAsia="宋体" w:cs="宋体"/>
                <w:szCs w:val="21"/>
                <w:highlight w:val="none"/>
              </w:rPr>
            </w:pPr>
          </w:p>
        </w:tc>
        <w:tc>
          <w:tcPr>
            <w:tcW w:w="1239" w:type="dxa"/>
            <w:noWrap/>
            <w:vAlign w:val="center"/>
          </w:tcPr>
          <w:p w14:paraId="75C9122C">
            <w:pPr>
              <w:widowControl/>
              <w:snapToGrid w:val="0"/>
              <w:jc w:val="center"/>
              <w:textAlignment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智能密集架固定列</w:t>
            </w:r>
          </w:p>
          <w:p w14:paraId="096A9C46">
            <w:pPr>
              <w:pStyle w:val="25"/>
              <w:widowControl w:val="0"/>
              <w:snapToGrid w:val="0"/>
              <w:ind w:firstLine="0" w:firstLineChars="0"/>
              <w:jc w:val="center"/>
              <w:rPr>
                <w:rFonts w:hint="eastAsia" w:ascii="宋体" w:hAnsi="宋体" w:eastAsia="宋体" w:cs="宋体"/>
                <w:szCs w:val="21"/>
                <w:highlight w:val="none"/>
              </w:rPr>
            </w:pPr>
            <w:r>
              <w:rPr>
                <w:rFonts w:hint="eastAsia" w:ascii="宋体" w:hAnsi="宋体" w:eastAsia="宋体" w:cs="宋体"/>
                <w:color w:val="000000"/>
                <w:kern w:val="0"/>
                <w:szCs w:val="21"/>
                <w:highlight w:val="none"/>
              </w:rPr>
              <w:t>（A区）</w:t>
            </w:r>
          </w:p>
        </w:tc>
        <w:tc>
          <w:tcPr>
            <w:tcW w:w="1538" w:type="dxa"/>
            <w:noWrap/>
            <w:vAlign w:val="center"/>
          </w:tcPr>
          <w:p w14:paraId="5A7C4B1D">
            <w:pPr>
              <w:pStyle w:val="25"/>
              <w:widowControl w:val="0"/>
              <w:snapToGrid w:val="0"/>
              <w:ind w:firstLine="0" w:firstLineChars="0"/>
              <w:jc w:val="left"/>
              <w:rPr>
                <w:rFonts w:hint="eastAsia" w:ascii="宋体" w:hAnsi="宋体" w:eastAsia="宋体" w:cs="宋体"/>
                <w:szCs w:val="21"/>
                <w:highlight w:val="none"/>
              </w:rPr>
            </w:pPr>
            <w:r>
              <w:rPr>
                <w:rFonts w:hint="eastAsia" w:ascii="宋体" w:hAnsi="宋体" w:eastAsia="宋体" w:cs="宋体"/>
                <w:color w:val="000000"/>
                <w:kern w:val="0"/>
                <w:szCs w:val="21"/>
                <w:highlight w:val="none"/>
              </w:rPr>
              <w:t>双面5层，每列3组，共1列，规格2830</w:t>
            </w:r>
            <w:r>
              <w:rPr>
                <w:rFonts w:hint="eastAsia" w:ascii="宋体" w:hAnsi="宋体" w:cs="宋体"/>
                <w:color w:val="000000"/>
                <w:kern w:val="0"/>
                <w:szCs w:val="21"/>
                <w:highlight w:val="none"/>
                <w:lang w:val="en-US" w:eastAsia="zh-CN"/>
              </w:rPr>
              <w:t>mm</w:t>
            </w:r>
            <w:r>
              <w:rPr>
                <w:rFonts w:hint="eastAsia" w:ascii="宋体" w:hAnsi="宋体" w:eastAsia="宋体" w:cs="宋体"/>
                <w:color w:val="000000"/>
                <w:kern w:val="0"/>
                <w:szCs w:val="21"/>
                <w:highlight w:val="none"/>
              </w:rPr>
              <w:t>*1050</w:t>
            </w:r>
            <w:r>
              <w:rPr>
                <w:rFonts w:hint="eastAsia" w:ascii="宋体" w:hAnsi="宋体" w:cs="宋体"/>
                <w:color w:val="000000"/>
                <w:kern w:val="0"/>
                <w:szCs w:val="21"/>
                <w:highlight w:val="none"/>
                <w:lang w:val="en-US" w:eastAsia="zh-CN"/>
              </w:rPr>
              <w:t>mm</w:t>
            </w:r>
            <w:r>
              <w:rPr>
                <w:rFonts w:hint="eastAsia" w:ascii="宋体" w:hAnsi="宋体" w:eastAsia="宋体" w:cs="宋体"/>
                <w:color w:val="000000"/>
                <w:kern w:val="0"/>
                <w:szCs w:val="21"/>
                <w:highlight w:val="none"/>
              </w:rPr>
              <w:t>*2200</w:t>
            </w:r>
            <w:r>
              <w:rPr>
                <w:rFonts w:hint="eastAsia" w:ascii="宋体" w:hAnsi="宋体" w:cs="宋体"/>
                <w:color w:val="000000"/>
                <w:kern w:val="0"/>
                <w:szCs w:val="21"/>
                <w:highlight w:val="none"/>
                <w:lang w:val="en-US" w:eastAsia="zh-CN"/>
              </w:rPr>
              <w:t>mm</w:t>
            </w:r>
          </w:p>
        </w:tc>
        <w:tc>
          <w:tcPr>
            <w:tcW w:w="2752" w:type="dxa"/>
            <w:vMerge w:val="restart"/>
            <w:noWrap/>
            <w:vAlign w:val="center"/>
          </w:tcPr>
          <w:p w14:paraId="67B23CFE">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智能密集架采用双面多层可调节结构，通过固定列与移动列协同实现高密度存储；支持电动 / 手动双模式及触摸、远程、手指滑动操作，曲线运行且参数可调，上电快速响应；具备档案查找、远程开架、批量任务执行、存储状态可视化及语音播报功能；配备防倾倒、防挤压、人员防护等多重安全结构与锁定装置；搭载高清触摸液晶屏，支持语音自定义、信息显示与调整；含温湿度显示、LED 照明智能控制、故障自检、记录保存等功能，兼顾便捷性、安全性与可维护性</w:t>
            </w:r>
          </w:p>
        </w:tc>
        <w:tc>
          <w:tcPr>
            <w:tcW w:w="1157" w:type="dxa"/>
            <w:noWrap/>
            <w:vAlign w:val="center"/>
          </w:tcPr>
          <w:p w14:paraId="192E5C8A">
            <w:pPr>
              <w:widowControl w:val="0"/>
              <w:jc w:val="center"/>
              <w:rPr>
                <w:rFonts w:hint="eastAsia" w:ascii="宋体" w:hAnsi="宋体" w:eastAsia="宋体" w:cs="宋体"/>
                <w:szCs w:val="21"/>
                <w:highlight w:val="none"/>
              </w:rPr>
            </w:pPr>
            <w:r>
              <w:rPr>
                <w:rFonts w:hint="eastAsia" w:ascii="宋体" w:hAnsi="宋体" w:eastAsia="宋体" w:cs="宋体"/>
                <w:color w:val="000000"/>
                <w:szCs w:val="21"/>
                <w:highlight w:val="none"/>
              </w:rPr>
              <w:t>m³</w:t>
            </w:r>
          </w:p>
        </w:tc>
        <w:tc>
          <w:tcPr>
            <w:tcW w:w="1150" w:type="dxa"/>
            <w:noWrap/>
            <w:vAlign w:val="center"/>
          </w:tcPr>
          <w:p w14:paraId="129E7F6C">
            <w:pPr>
              <w:widowControl/>
              <w:snapToGrid w:val="0"/>
              <w:jc w:val="center"/>
              <w:rPr>
                <w:rFonts w:hint="eastAsia" w:ascii="宋体" w:hAnsi="宋体" w:eastAsia="宋体" w:cs="宋体"/>
                <w:szCs w:val="21"/>
                <w:highlight w:val="none"/>
              </w:rPr>
            </w:pPr>
            <w:r>
              <w:rPr>
                <w:rFonts w:hint="eastAsia" w:ascii="宋体" w:hAnsi="宋体" w:eastAsia="宋体" w:cs="宋体"/>
                <w:color w:val="000000"/>
                <w:szCs w:val="21"/>
                <w:highlight w:val="none"/>
              </w:rPr>
              <w:t>6.54</w:t>
            </w:r>
          </w:p>
        </w:tc>
        <w:tc>
          <w:tcPr>
            <w:tcW w:w="657" w:type="dxa"/>
            <w:noWrap/>
            <w:vAlign w:val="center"/>
          </w:tcPr>
          <w:p w14:paraId="24A4A7B5">
            <w:pPr>
              <w:widowControl/>
              <w:snapToGrid w:val="0"/>
              <w:jc w:val="center"/>
              <w:textAlignment w:val="center"/>
              <w:rPr>
                <w:rFonts w:hint="eastAsia" w:ascii="宋体" w:hAnsi="宋体" w:eastAsia="宋体" w:cs="宋体"/>
                <w:szCs w:val="21"/>
                <w:highlight w:val="none"/>
              </w:rPr>
            </w:pPr>
          </w:p>
        </w:tc>
      </w:tr>
      <w:tr w14:paraId="3FED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3" w:hRule="atLeast"/>
          <w:jc w:val="center"/>
        </w:trPr>
        <w:tc>
          <w:tcPr>
            <w:tcW w:w="443" w:type="dxa"/>
            <w:vMerge w:val="continue"/>
            <w:noWrap/>
            <w:vAlign w:val="center"/>
          </w:tcPr>
          <w:p w14:paraId="182C8627">
            <w:pPr>
              <w:widowControl w:val="0"/>
              <w:ind w:left="425" w:hanging="425"/>
              <w:jc w:val="center"/>
              <w:rPr>
                <w:rFonts w:hint="eastAsia" w:ascii="宋体" w:hAnsi="宋体" w:eastAsia="宋体" w:cs="宋体"/>
                <w:szCs w:val="21"/>
                <w:highlight w:val="none"/>
              </w:rPr>
            </w:pPr>
          </w:p>
        </w:tc>
        <w:tc>
          <w:tcPr>
            <w:tcW w:w="1239" w:type="dxa"/>
            <w:noWrap/>
            <w:vAlign w:val="center"/>
          </w:tcPr>
          <w:p w14:paraId="39294A4D">
            <w:pPr>
              <w:widowControl/>
              <w:snapToGrid w:val="0"/>
              <w:jc w:val="center"/>
              <w:textAlignment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智能密集架移动列</w:t>
            </w:r>
          </w:p>
          <w:p w14:paraId="77943D7A">
            <w:pPr>
              <w:pStyle w:val="25"/>
              <w:widowControl w:val="0"/>
              <w:snapToGrid w:val="0"/>
              <w:ind w:firstLine="0" w:firstLineChars="0"/>
              <w:jc w:val="center"/>
              <w:rPr>
                <w:rFonts w:hint="eastAsia" w:ascii="宋体" w:hAnsi="宋体" w:eastAsia="宋体" w:cs="宋体"/>
                <w:szCs w:val="21"/>
                <w:highlight w:val="none"/>
              </w:rPr>
            </w:pPr>
            <w:r>
              <w:rPr>
                <w:rFonts w:hint="eastAsia" w:ascii="宋体" w:hAnsi="宋体" w:eastAsia="宋体" w:cs="宋体"/>
                <w:color w:val="000000"/>
                <w:kern w:val="0"/>
                <w:szCs w:val="21"/>
                <w:highlight w:val="none"/>
              </w:rPr>
              <w:t>（A区）</w:t>
            </w:r>
          </w:p>
        </w:tc>
        <w:tc>
          <w:tcPr>
            <w:tcW w:w="1538" w:type="dxa"/>
            <w:noWrap/>
            <w:vAlign w:val="center"/>
          </w:tcPr>
          <w:p w14:paraId="4BC38BD6">
            <w:pPr>
              <w:widowControl/>
              <w:snapToGrid w:val="0"/>
              <w:jc w:val="left"/>
              <w:rPr>
                <w:rFonts w:hint="eastAsia" w:ascii="宋体" w:hAnsi="宋体" w:eastAsia="宋体" w:cs="宋体"/>
                <w:szCs w:val="21"/>
                <w:highlight w:val="none"/>
              </w:rPr>
            </w:pPr>
            <w:r>
              <w:rPr>
                <w:rFonts w:hint="eastAsia" w:ascii="宋体" w:hAnsi="宋体" w:eastAsia="宋体" w:cs="宋体"/>
                <w:color w:val="000000"/>
                <w:kern w:val="0"/>
                <w:szCs w:val="21"/>
                <w:highlight w:val="none"/>
              </w:rPr>
              <w:t>双面5层，每列3组，共17列，规格2830</w:t>
            </w:r>
            <w:r>
              <w:rPr>
                <w:rFonts w:hint="eastAsia" w:ascii="宋体" w:hAnsi="宋体" w:cs="宋体"/>
                <w:color w:val="000000"/>
                <w:kern w:val="0"/>
                <w:szCs w:val="21"/>
                <w:highlight w:val="none"/>
                <w:lang w:val="en-US" w:eastAsia="zh-CN"/>
              </w:rPr>
              <w:t>mm</w:t>
            </w:r>
            <w:r>
              <w:rPr>
                <w:rFonts w:hint="eastAsia" w:ascii="宋体" w:hAnsi="宋体" w:eastAsia="宋体" w:cs="宋体"/>
                <w:color w:val="000000"/>
                <w:kern w:val="0"/>
                <w:szCs w:val="21"/>
                <w:highlight w:val="none"/>
              </w:rPr>
              <w:t>*570</w:t>
            </w:r>
            <w:r>
              <w:rPr>
                <w:rFonts w:hint="eastAsia" w:ascii="宋体" w:hAnsi="宋体" w:cs="宋体"/>
                <w:color w:val="000000"/>
                <w:kern w:val="0"/>
                <w:szCs w:val="21"/>
                <w:highlight w:val="none"/>
                <w:lang w:val="en-US" w:eastAsia="zh-CN"/>
              </w:rPr>
              <w:t>mm</w:t>
            </w:r>
            <w:r>
              <w:rPr>
                <w:rFonts w:hint="eastAsia" w:ascii="宋体" w:hAnsi="宋体" w:eastAsia="宋体" w:cs="宋体"/>
                <w:color w:val="000000"/>
                <w:kern w:val="0"/>
                <w:szCs w:val="21"/>
                <w:highlight w:val="none"/>
              </w:rPr>
              <w:t>*2200</w:t>
            </w:r>
            <w:r>
              <w:rPr>
                <w:rFonts w:hint="eastAsia" w:ascii="宋体" w:hAnsi="宋体" w:cs="宋体"/>
                <w:color w:val="000000"/>
                <w:kern w:val="0"/>
                <w:szCs w:val="21"/>
                <w:highlight w:val="none"/>
                <w:lang w:val="en-US" w:eastAsia="zh-CN"/>
              </w:rPr>
              <w:t>mm</w:t>
            </w:r>
          </w:p>
        </w:tc>
        <w:tc>
          <w:tcPr>
            <w:tcW w:w="2752" w:type="dxa"/>
            <w:vMerge w:val="continue"/>
            <w:noWrap/>
            <w:vAlign w:val="center"/>
          </w:tcPr>
          <w:p w14:paraId="7838E002">
            <w:pPr>
              <w:widowControl w:val="0"/>
              <w:jc w:val="center"/>
              <w:rPr>
                <w:rFonts w:hint="eastAsia" w:ascii="宋体" w:hAnsi="宋体" w:eastAsia="宋体" w:cs="宋体"/>
                <w:szCs w:val="21"/>
                <w:highlight w:val="none"/>
              </w:rPr>
            </w:pPr>
          </w:p>
        </w:tc>
        <w:tc>
          <w:tcPr>
            <w:tcW w:w="1157" w:type="dxa"/>
            <w:noWrap/>
            <w:vAlign w:val="center"/>
          </w:tcPr>
          <w:p w14:paraId="3A0A3CDA">
            <w:pPr>
              <w:widowControl w:val="0"/>
              <w:jc w:val="center"/>
              <w:rPr>
                <w:rFonts w:hint="eastAsia" w:ascii="宋体" w:hAnsi="宋体" w:eastAsia="宋体" w:cs="宋体"/>
                <w:szCs w:val="21"/>
                <w:highlight w:val="none"/>
              </w:rPr>
            </w:pPr>
            <w:r>
              <w:rPr>
                <w:rFonts w:hint="eastAsia" w:ascii="宋体" w:hAnsi="宋体" w:eastAsia="宋体" w:cs="宋体"/>
                <w:color w:val="000000"/>
                <w:szCs w:val="21"/>
                <w:highlight w:val="none"/>
              </w:rPr>
              <w:t>m³</w:t>
            </w:r>
          </w:p>
        </w:tc>
        <w:tc>
          <w:tcPr>
            <w:tcW w:w="1150" w:type="dxa"/>
            <w:noWrap/>
            <w:vAlign w:val="center"/>
          </w:tcPr>
          <w:p w14:paraId="1B903C90">
            <w:pPr>
              <w:widowControl/>
              <w:snapToGrid w:val="0"/>
              <w:jc w:val="center"/>
              <w:rPr>
                <w:rFonts w:hint="eastAsia" w:ascii="宋体" w:hAnsi="宋体" w:eastAsia="宋体" w:cs="宋体"/>
                <w:szCs w:val="21"/>
                <w:highlight w:val="none"/>
              </w:rPr>
            </w:pPr>
            <w:r>
              <w:rPr>
                <w:rFonts w:hint="eastAsia" w:ascii="宋体" w:hAnsi="宋体" w:eastAsia="宋体" w:cs="宋体"/>
                <w:color w:val="000000"/>
                <w:szCs w:val="21"/>
                <w:highlight w:val="none"/>
              </w:rPr>
              <w:t>60.33</w:t>
            </w:r>
          </w:p>
        </w:tc>
        <w:tc>
          <w:tcPr>
            <w:tcW w:w="657" w:type="dxa"/>
            <w:noWrap/>
            <w:vAlign w:val="center"/>
          </w:tcPr>
          <w:p w14:paraId="165011C7">
            <w:pPr>
              <w:widowControl/>
              <w:snapToGrid w:val="0"/>
              <w:jc w:val="center"/>
              <w:textAlignment w:val="center"/>
              <w:rPr>
                <w:rFonts w:hint="eastAsia" w:ascii="宋体" w:hAnsi="宋体" w:eastAsia="宋体" w:cs="宋体"/>
                <w:szCs w:val="21"/>
                <w:highlight w:val="none"/>
              </w:rPr>
            </w:pPr>
          </w:p>
        </w:tc>
      </w:tr>
      <w:tr w14:paraId="7B4D3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443" w:type="dxa"/>
            <w:vMerge w:val="continue"/>
            <w:noWrap/>
            <w:vAlign w:val="center"/>
          </w:tcPr>
          <w:p w14:paraId="5DF4F980">
            <w:pPr>
              <w:widowControl w:val="0"/>
              <w:ind w:left="425" w:hanging="425"/>
              <w:jc w:val="center"/>
              <w:rPr>
                <w:rFonts w:hint="eastAsia" w:ascii="宋体" w:hAnsi="宋体" w:eastAsia="宋体" w:cs="宋体"/>
                <w:szCs w:val="21"/>
                <w:highlight w:val="none"/>
              </w:rPr>
            </w:pPr>
          </w:p>
        </w:tc>
        <w:tc>
          <w:tcPr>
            <w:tcW w:w="1239" w:type="dxa"/>
            <w:noWrap/>
            <w:vAlign w:val="center"/>
          </w:tcPr>
          <w:p w14:paraId="563747A6">
            <w:pPr>
              <w:pStyle w:val="25"/>
              <w:widowControl w:val="0"/>
              <w:snapToGrid w:val="0"/>
              <w:ind w:firstLine="0" w:firstLineChars="0"/>
              <w:jc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智能密集架固定列</w:t>
            </w:r>
          </w:p>
          <w:p w14:paraId="5C7DD796">
            <w:pPr>
              <w:pStyle w:val="25"/>
              <w:widowControl w:val="0"/>
              <w:snapToGrid w:val="0"/>
              <w:ind w:firstLine="0" w:firstLineChars="0"/>
              <w:jc w:val="center"/>
              <w:rPr>
                <w:rFonts w:hint="eastAsia" w:ascii="宋体" w:hAnsi="宋体" w:eastAsia="宋体" w:cs="宋体"/>
                <w:szCs w:val="21"/>
                <w:highlight w:val="none"/>
              </w:rPr>
            </w:pPr>
            <w:r>
              <w:rPr>
                <w:rFonts w:hint="eastAsia" w:ascii="宋体" w:hAnsi="宋体" w:eastAsia="宋体" w:cs="宋体"/>
                <w:color w:val="000000"/>
                <w:kern w:val="0"/>
                <w:szCs w:val="21"/>
                <w:highlight w:val="none"/>
              </w:rPr>
              <w:t>（B区）</w:t>
            </w:r>
          </w:p>
        </w:tc>
        <w:tc>
          <w:tcPr>
            <w:tcW w:w="1538" w:type="dxa"/>
            <w:noWrap/>
            <w:vAlign w:val="center"/>
          </w:tcPr>
          <w:p w14:paraId="0C765F97">
            <w:pPr>
              <w:pStyle w:val="25"/>
              <w:widowControl w:val="0"/>
              <w:snapToGrid w:val="0"/>
              <w:ind w:firstLine="0" w:firstLineChars="0"/>
              <w:jc w:val="left"/>
              <w:rPr>
                <w:rFonts w:hint="eastAsia" w:ascii="宋体" w:hAnsi="宋体" w:eastAsia="宋体" w:cs="宋体"/>
                <w:szCs w:val="21"/>
                <w:highlight w:val="none"/>
              </w:rPr>
            </w:pPr>
            <w:r>
              <w:rPr>
                <w:rFonts w:hint="eastAsia" w:ascii="宋体" w:hAnsi="宋体" w:eastAsia="宋体" w:cs="宋体"/>
                <w:color w:val="000000"/>
                <w:kern w:val="0"/>
                <w:szCs w:val="21"/>
                <w:highlight w:val="none"/>
              </w:rPr>
              <w:t>双面5层，每列4组，共1列，规格3730</w:t>
            </w:r>
            <w:r>
              <w:rPr>
                <w:rFonts w:hint="eastAsia" w:ascii="宋体" w:hAnsi="宋体" w:cs="宋体"/>
                <w:color w:val="000000"/>
                <w:kern w:val="0"/>
                <w:szCs w:val="21"/>
                <w:highlight w:val="none"/>
                <w:lang w:val="en-US" w:eastAsia="zh-CN"/>
              </w:rPr>
              <w:t>mm</w:t>
            </w:r>
            <w:r>
              <w:rPr>
                <w:rFonts w:hint="eastAsia" w:ascii="宋体" w:hAnsi="宋体" w:eastAsia="宋体" w:cs="宋体"/>
                <w:color w:val="000000"/>
                <w:kern w:val="0"/>
                <w:szCs w:val="21"/>
                <w:highlight w:val="none"/>
              </w:rPr>
              <w:t>*1050</w:t>
            </w:r>
            <w:r>
              <w:rPr>
                <w:rFonts w:hint="eastAsia" w:ascii="宋体" w:hAnsi="宋体" w:cs="宋体"/>
                <w:color w:val="000000"/>
                <w:kern w:val="0"/>
                <w:szCs w:val="21"/>
                <w:highlight w:val="none"/>
                <w:lang w:val="en-US" w:eastAsia="zh-CN"/>
              </w:rPr>
              <w:t>mm</w:t>
            </w:r>
            <w:r>
              <w:rPr>
                <w:rFonts w:hint="eastAsia" w:ascii="宋体" w:hAnsi="宋体" w:eastAsia="宋体" w:cs="宋体"/>
                <w:color w:val="000000"/>
                <w:kern w:val="0"/>
                <w:szCs w:val="21"/>
                <w:highlight w:val="none"/>
              </w:rPr>
              <w:t>*2200</w:t>
            </w:r>
            <w:r>
              <w:rPr>
                <w:rFonts w:hint="eastAsia" w:ascii="宋体" w:hAnsi="宋体" w:cs="宋体"/>
                <w:color w:val="000000"/>
                <w:kern w:val="0"/>
                <w:szCs w:val="21"/>
                <w:highlight w:val="none"/>
                <w:lang w:val="en-US" w:eastAsia="zh-CN"/>
              </w:rPr>
              <w:t>mm</w:t>
            </w:r>
          </w:p>
        </w:tc>
        <w:tc>
          <w:tcPr>
            <w:tcW w:w="2752" w:type="dxa"/>
            <w:vMerge w:val="continue"/>
            <w:noWrap/>
            <w:vAlign w:val="center"/>
          </w:tcPr>
          <w:p w14:paraId="19558415">
            <w:pPr>
              <w:widowControl w:val="0"/>
              <w:jc w:val="center"/>
              <w:rPr>
                <w:rFonts w:hint="eastAsia" w:ascii="宋体" w:hAnsi="宋体" w:eastAsia="宋体" w:cs="宋体"/>
                <w:szCs w:val="21"/>
                <w:highlight w:val="none"/>
              </w:rPr>
            </w:pPr>
          </w:p>
        </w:tc>
        <w:tc>
          <w:tcPr>
            <w:tcW w:w="1157" w:type="dxa"/>
            <w:noWrap/>
            <w:vAlign w:val="center"/>
          </w:tcPr>
          <w:p w14:paraId="4B76D043">
            <w:pPr>
              <w:widowControl w:val="0"/>
              <w:jc w:val="center"/>
              <w:rPr>
                <w:rFonts w:hint="eastAsia" w:ascii="宋体" w:hAnsi="宋体" w:eastAsia="宋体" w:cs="宋体"/>
                <w:szCs w:val="21"/>
                <w:highlight w:val="none"/>
              </w:rPr>
            </w:pPr>
            <w:r>
              <w:rPr>
                <w:rFonts w:hint="eastAsia" w:ascii="宋体" w:hAnsi="宋体" w:eastAsia="宋体" w:cs="宋体"/>
                <w:color w:val="000000"/>
                <w:szCs w:val="21"/>
                <w:highlight w:val="none"/>
              </w:rPr>
              <w:t>m³</w:t>
            </w:r>
          </w:p>
        </w:tc>
        <w:tc>
          <w:tcPr>
            <w:tcW w:w="1150" w:type="dxa"/>
            <w:noWrap/>
            <w:vAlign w:val="center"/>
          </w:tcPr>
          <w:p w14:paraId="18BAEF46">
            <w:pPr>
              <w:widowControl/>
              <w:snapToGrid w:val="0"/>
              <w:jc w:val="center"/>
              <w:rPr>
                <w:rFonts w:hint="eastAsia" w:ascii="宋体" w:hAnsi="宋体" w:eastAsia="宋体" w:cs="宋体"/>
                <w:szCs w:val="21"/>
                <w:highlight w:val="none"/>
              </w:rPr>
            </w:pPr>
            <w:r>
              <w:rPr>
                <w:rFonts w:hint="eastAsia" w:ascii="宋体" w:hAnsi="宋体" w:eastAsia="宋体" w:cs="宋体"/>
                <w:color w:val="000000"/>
                <w:szCs w:val="21"/>
                <w:highlight w:val="none"/>
              </w:rPr>
              <w:t>8.62</w:t>
            </w:r>
          </w:p>
        </w:tc>
        <w:tc>
          <w:tcPr>
            <w:tcW w:w="657" w:type="dxa"/>
            <w:noWrap/>
            <w:vAlign w:val="center"/>
          </w:tcPr>
          <w:p w14:paraId="458AE2A6">
            <w:pPr>
              <w:widowControl/>
              <w:snapToGrid w:val="0"/>
              <w:jc w:val="center"/>
              <w:textAlignment w:val="center"/>
              <w:rPr>
                <w:rFonts w:hint="eastAsia" w:ascii="宋体" w:hAnsi="宋体" w:eastAsia="宋体" w:cs="宋体"/>
                <w:szCs w:val="21"/>
                <w:highlight w:val="none"/>
              </w:rPr>
            </w:pPr>
          </w:p>
        </w:tc>
      </w:tr>
      <w:tr w14:paraId="30F2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3" w:hRule="atLeast"/>
          <w:jc w:val="center"/>
        </w:trPr>
        <w:tc>
          <w:tcPr>
            <w:tcW w:w="443" w:type="dxa"/>
            <w:vMerge w:val="continue"/>
            <w:noWrap/>
            <w:vAlign w:val="center"/>
          </w:tcPr>
          <w:p w14:paraId="54ED33AA">
            <w:pPr>
              <w:widowControl w:val="0"/>
              <w:ind w:left="425" w:hanging="425"/>
              <w:jc w:val="center"/>
              <w:rPr>
                <w:rFonts w:hint="eastAsia" w:ascii="宋体" w:hAnsi="宋体" w:eastAsia="宋体" w:cs="宋体"/>
                <w:szCs w:val="21"/>
                <w:highlight w:val="none"/>
              </w:rPr>
            </w:pPr>
          </w:p>
        </w:tc>
        <w:tc>
          <w:tcPr>
            <w:tcW w:w="1239" w:type="dxa"/>
            <w:noWrap/>
            <w:vAlign w:val="center"/>
          </w:tcPr>
          <w:p w14:paraId="0D02C047">
            <w:pPr>
              <w:widowControl/>
              <w:snapToGrid w:val="0"/>
              <w:jc w:val="center"/>
              <w:textAlignment w:val="cente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智能密集架移动列</w:t>
            </w:r>
          </w:p>
          <w:p w14:paraId="3FCE7AE2">
            <w:pPr>
              <w:pStyle w:val="25"/>
              <w:widowControl w:val="0"/>
              <w:snapToGrid w:val="0"/>
              <w:ind w:firstLine="0" w:firstLineChars="0"/>
              <w:jc w:val="center"/>
              <w:rPr>
                <w:rFonts w:hint="eastAsia" w:ascii="宋体" w:hAnsi="宋体" w:eastAsia="宋体" w:cs="宋体"/>
                <w:szCs w:val="21"/>
                <w:highlight w:val="none"/>
              </w:rPr>
            </w:pPr>
            <w:r>
              <w:rPr>
                <w:rFonts w:hint="eastAsia" w:ascii="宋体" w:hAnsi="宋体" w:eastAsia="宋体" w:cs="宋体"/>
                <w:color w:val="000000"/>
                <w:kern w:val="0"/>
                <w:szCs w:val="21"/>
                <w:highlight w:val="none"/>
              </w:rPr>
              <w:t>（B区）</w:t>
            </w:r>
          </w:p>
        </w:tc>
        <w:tc>
          <w:tcPr>
            <w:tcW w:w="1538" w:type="dxa"/>
            <w:noWrap/>
            <w:vAlign w:val="center"/>
          </w:tcPr>
          <w:p w14:paraId="3781905A">
            <w:pPr>
              <w:pStyle w:val="25"/>
              <w:widowControl w:val="0"/>
              <w:snapToGrid w:val="0"/>
              <w:ind w:firstLine="0" w:firstLineChars="0"/>
              <w:jc w:val="left"/>
              <w:rPr>
                <w:rFonts w:hint="eastAsia" w:ascii="宋体" w:hAnsi="宋体" w:eastAsia="宋体" w:cs="宋体"/>
                <w:szCs w:val="21"/>
                <w:highlight w:val="none"/>
              </w:rPr>
            </w:pPr>
            <w:r>
              <w:rPr>
                <w:rFonts w:hint="eastAsia" w:ascii="宋体" w:hAnsi="宋体" w:eastAsia="宋体" w:cs="宋体"/>
                <w:color w:val="000000"/>
                <w:kern w:val="0"/>
                <w:szCs w:val="21"/>
                <w:highlight w:val="none"/>
              </w:rPr>
              <w:t>双面5层，每列4组，共16列，规格3730</w:t>
            </w:r>
            <w:r>
              <w:rPr>
                <w:rFonts w:hint="eastAsia" w:ascii="宋体" w:hAnsi="宋体" w:cs="宋体"/>
                <w:color w:val="000000"/>
                <w:kern w:val="0"/>
                <w:szCs w:val="21"/>
                <w:highlight w:val="none"/>
                <w:lang w:val="en-US" w:eastAsia="zh-CN"/>
              </w:rPr>
              <w:t>mm</w:t>
            </w:r>
            <w:r>
              <w:rPr>
                <w:rFonts w:hint="eastAsia" w:ascii="宋体" w:hAnsi="宋体" w:eastAsia="宋体" w:cs="宋体"/>
                <w:color w:val="000000"/>
                <w:kern w:val="0"/>
                <w:szCs w:val="21"/>
                <w:highlight w:val="none"/>
              </w:rPr>
              <w:t>*570</w:t>
            </w:r>
            <w:r>
              <w:rPr>
                <w:rFonts w:hint="eastAsia" w:ascii="宋体" w:hAnsi="宋体" w:cs="宋体"/>
                <w:color w:val="000000"/>
                <w:kern w:val="0"/>
                <w:szCs w:val="21"/>
                <w:highlight w:val="none"/>
                <w:lang w:val="en-US" w:eastAsia="zh-CN"/>
              </w:rPr>
              <w:t>mm</w:t>
            </w:r>
            <w:r>
              <w:rPr>
                <w:rFonts w:hint="eastAsia" w:ascii="宋体" w:hAnsi="宋体" w:eastAsia="宋体" w:cs="宋体"/>
                <w:color w:val="000000"/>
                <w:kern w:val="0"/>
                <w:szCs w:val="21"/>
                <w:highlight w:val="none"/>
              </w:rPr>
              <w:t>*2200</w:t>
            </w:r>
            <w:r>
              <w:rPr>
                <w:rFonts w:hint="eastAsia" w:ascii="宋体" w:hAnsi="宋体" w:cs="宋体"/>
                <w:color w:val="000000"/>
                <w:kern w:val="0"/>
                <w:szCs w:val="21"/>
                <w:highlight w:val="none"/>
                <w:lang w:val="en-US" w:eastAsia="zh-CN"/>
              </w:rPr>
              <w:t>mm</w:t>
            </w:r>
          </w:p>
        </w:tc>
        <w:tc>
          <w:tcPr>
            <w:tcW w:w="2752" w:type="dxa"/>
            <w:vMerge w:val="continue"/>
            <w:noWrap/>
            <w:vAlign w:val="center"/>
          </w:tcPr>
          <w:p w14:paraId="5BB9A570">
            <w:pPr>
              <w:widowControl w:val="0"/>
              <w:jc w:val="center"/>
              <w:rPr>
                <w:rFonts w:hint="eastAsia" w:ascii="宋体" w:hAnsi="宋体" w:eastAsia="宋体" w:cs="宋体"/>
                <w:szCs w:val="21"/>
                <w:highlight w:val="none"/>
              </w:rPr>
            </w:pPr>
          </w:p>
        </w:tc>
        <w:tc>
          <w:tcPr>
            <w:tcW w:w="1157" w:type="dxa"/>
            <w:noWrap/>
            <w:vAlign w:val="center"/>
          </w:tcPr>
          <w:p w14:paraId="2EDB3849">
            <w:pPr>
              <w:widowControl w:val="0"/>
              <w:jc w:val="center"/>
              <w:rPr>
                <w:rFonts w:hint="eastAsia" w:ascii="宋体" w:hAnsi="宋体" w:eastAsia="宋体" w:cs="宋体"/>
                <w:szCs w:val="21"/>
                <w:highlight w:val="none"/>
              </w:rPr>
            </w:pPr>
            <w:r>
              <w:rPr>
                <w:rFonts w:hint="eastAsia" w:ascii="宋体" w:hAnsi="宋体" w:eastAsia="宋体" w:cs="宋体"/>
                <w:color w:val="000000"/>
                <w:szCs w:val="21"/>
                <w:highlight w:val="none"/>
              </w:rPr>
              <w:t>m³</w:t>
            </w:r>
          </w:p>
        </w:tc>
        <w:tc>
          <w:tcPr>
            <w:tcW w:w="1150" w:type="dxa"/>
            <w:noWrap/>
            <w:vAlign w:val="center"/>
          </w:tcPr>
          <w:p w14:paraId="18A89332">
            <w:pPr>
              <w:widowControl/>
              <w:snapToGrid w:val="0"/>
              <w:jc w:val="center"/>
              <w:rPr>
                <w:rFonts w:hint="eastAsia" w:ascii="宋体" w:hAnsi="宋体" w:eastAsia="宋体" w:cs="宋体"/>
                <w:szCs w:val="21"/>
                <w:highlight w:val="none"/>
              </w:rPr>
            </w:pPr>
            <w:r>
              <w:rPr>
                <w:rFonts w:hint="eastAsia" w:ascii="宋体" w:hAnsi="宋体" w:eastAsia="宋体" w:cs="宋体"/>
                <w:color w:val="000000"/>
                <w:szCs w:val="21"/>
                <w:highlight w:val="none"/>
              </w:rPr>
              <w:t>74.84</w:t>
            </w:r>
          </w:p>
        </w:tc>
        <w:tc>
          <w:tcPr>
            <w:tcW w:w="657" w:type="dxa"/>
            <w:noWrap/>
            <w:vAlign w:val="center"/>
          </w:tcPr>
          <w:p w14:paraId="091D239E">
            <w:pPr>
              <w:widowControl/>
              <w:snapToGrid w:val="0"/>
              <w:jc w:val="center"/>
              <w:textAlignment w:val="center"/>
              <w:rPr>
                <w:rFonts w:hint="eastAsia" w:ascii="宋体" w:hAnsi="宋体" w:eastAsia="宋体" w:cs="宋体"/>
                <w:szCs w:val="21"/>
                <w:highlight w:val="none"/>
              </w:rPr>
            </w:pPr>
          </w:p>
        </w:tc>
      </w:tr>
      <w:tr w14:paraId="7A927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3" w:hRule="atLeast"/>
          <w:jc w:val="center"/>
        </w:trPr>
        <w:tc>
          <w:tcPr>
            <w:tcW w:w="443" w:type="dxa"/>
            <w:noWrap/>
            <w:vAlign w:val="center"/>
          </w:tcPr>
          <w:p w14:paraId="6AF4881F">
            <w:pPr>
              <w:widowControl w:val="0"/>
              <w:numPr>
                <w:ilvl w:val="0"/>
                <w:numId w:val="3"/>
              </w:numPr>
              <w:jc w:val="right"/>
              <w:rPr>
                <w:rFonts w:hint="eastAsia" w:ascii="宋体" w:hAnsi="宋体" w:eastAsia="宋体" w:cs="宋体"/>
                <w:szCs w:val="21"/>
                <w:highlight w:val="none"/>
              </w:rPr>
            </w:pPr>
          </w:p>
        </w:tc>
        <w:tc>
          <w:tcPr>
            <w:tcW w:w="1239" w:type="dxa"/>
            <w:noWrap/>
            <w:vAlign w:val="center"/>
          </w:tcPr>
          <w:p w14:paraId="405DED2F">
            <w:pPr>
              <w:widowControl/>
              <w:snapToGrid w:val="0"/>
              <w:jc w:val="center"/>
              <w:textAlignment w:val="center"/>
              <w:rPr>
                <w:rFonts w:hint="eastAsia" w:ascii="宋体" w:hAnsi="宋体" w:eastAsia="宋体" w:cs="宋体"/>
                <w:szCs w:val="21"/>
                <w:highlight w:val="none"/>
              </w:rPr>
            </w:pPr>
            <w:r>
              <w:rPr>
                <w:rFonts w:hint="eastAsia" w:ascii="宋体" w:hAnsi="宋体" w:eastAsia="宋体" w:cs="宋体"/>
                <w:color w:val="000000"/>
                <w:kern w:val="0"/>
                <w:szCs w:val="21"/>
                <w:highlight w:val="none"/>
              </w:rPr>
              <w:t>智能环境监控系统</w:t>
            </w:r>
          </w:p>
        </w:tc>
        <w:tc>
          <w:tcPr>
            <w:tcW w:w="1538" w:type="dxa"/>
            <w:noWrap/>
            <w:vAlign w:val="center"/>
          </w:tcPr>
          <w:p w14:paraId="0CC2AD8E">
            <w:pPr>
              <w:widowControl/>
              <w:snapToGrid w:val="0"/>
              <w:jc w:val="left"/>
              <w:textAlignment w:val="center"/>
              <w:rPr>
                <w:rFonts w:hint="eastAsia" w:ascii="宋体" w:hAnsi="宋体" w:eastAsia="宋体" w:cs="宋体"/>
                <w:szCs w:val="21"/>
                <w:highlight w:val="none"/>
              </w:rPr>
            </w:pPr>
            <w:r>
              <w:rPr>
                <w:rFonts w:hint="eastAsia" w:ascii="宋体" w:hAnsi="宋体" w:eastAsia="宋体" w:cs="宋体"/>
                <w:szCs w:val="21"/>
                <w:highlight w:val="none"/>
              </w:rPr>
              <w:t>详见技术参数</w:t>
            </w:r>
          </w:p>
        </w:tc>
        <w:tc>
          <w:tcPr>
            <w:tcW w:w="2752" w:type="dxa"/>
            <w:noWrap/>
            <w:vAlign w:val="center"/>
          </w:tcPr>
          <w:p w14:paraId="40FEB85A">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实现档案库房温湿度监测、温湿度自动控制、空气质量监测，集成管理视频监控、门禁系统、红外防入侵、漏水报警等，实现档案库房环境智能化管理、设备自动控制、安防、智能密集架集成管理，档案库房环境可视化管理。</w:t>
            </w:r>
          </w:p>
        </w:tc>
        <w:tc>
          <w:tcPr>
            <w:tcW w:w="1157" w:type="dxa"/>
            <w:noWrap/>
            <w:vAlign w:val="center"/>
          </w:tcPr>
          <w:p w14:paraId="74D79A72">
            <w:pPr>
              <w:widowControl w:val="0"/>
              <w:jc w:val="center"/>
              <w:rPr>
                <w:rFonts w:hint="eastAsia" w:ascii="宋体" w:hAnsi="宋体" w:eastAsia="宋体" w:cs="宋体"/>
                <w:color w:val="FF0000"/>
                <w:szCs w:val="21"/>
                <w:highlight w:val="none"/>
              </w:rPr>
            </w:pPr>
            <w:r>
              <w:rPr>
                <w:rFonts w:hint="eastAsia" w:ascii="宋体" w:hAnsi="宋体" w:eastAsia="宋体" w:cs="宋体"/>
                <w:color w:val="000000"/>
                <w:szCs w:val="21"/>
                <w:highlight w:val="none"/>
              </w:rPr>
              <w:t>套</w:t>
            </w:r>
          </w:p>
        </w:tc>
        <w:tc>
          <w:tcPr>
            <w:tcW w:w="1150" w:type="dxa"/>
            <w:noWrap/>
            <w:vAlign w:val="center"/>
          </w:tcPr>
          <w:p w14:paraId="17D91592">
            <w:pPr>
              <w:widowControl/>
              <w:snapToGrid w:val="0"/>
              <w:jc w:val="center"/>
              <w:textAlignment w:val="center"/>
              <w:rPr>
                <w:rFonts w:hint="eastAsia" w:ascii="宋体" w:hAnsi="宋体" w:eastAsia="宋体" w:cs="宋体"/>
                <w:szCs w:val="21"/>
                <w:highlight w:val="none"/>
              </w:rPr>
            </w:pPr>
            <w:r>
              <w:rPr>
                <w:rFonts w:hint="eastAsia" w:ascii="宋体" w:hAnsi="宋体" w:eastAsia="宋体" w:cs="宋体"/>
                <w:color w:val="000000"/>
                <w:szCs w:val="21"/>
                <w:highlight w:val="none"/>
              </w:rPr>
              <w:t>1</w:t>
            </w:r>
          </w:p>
        </w:tc>
        <w:tc>
          <w:tcPr>
            <w:tcW w:w="657" w:type="dxa"/>
            <w:noWrap/>
            <w:vAlign w:val="center"/>
          </w:tcPr>
          <w:p w14:paraId="43AD5644">
            <w:pPr>
              <w:widowControl/>
              <w:snapToGrid w:val="0"/>
              <w:jc w:val="center"/>
              <w:textAlignment w:val="center"/>
              <w:rPr>
                <w:rFonts w:hint="eastAsia" w:ascii="宋体" w:hAnsi="宋体" w:eastAsia="宋体" w:cs="宋体"/>
                <w:szCs w:val="21"/>
                <w:highlight w:val="none"/>
              </w:rPr>
            </w:pPr>
          </w:p>
        </w:tc>
      </w:tr>
      <w:tr w14:paraId="35F8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3" w:hRule="atLeast"/>
          <w:jc w:val="center"/>
        </w:trPr>
        <w:tc>
          <w:tcPr>
            <w:tcW w:w="443" w:type="dxa"/>
            <w:noWrap/>
            <w:vAlign w:val="center"/>
          </w:tcPr>
          <w:p w14:paraId="6690AE1D">
            <w:pPr>
              <w:widowControl w:val="0"/>
              <w:numPr>
                <w:ilvl w:val="0"/>
                <w:numId w:val="3"/>
              </w:numPr>
              <w:jc w:val="right"/>
              <w:rPr>
                <w:rFonts w:hint="eastAsia" w:ascii="宋体" w:hAnsi="宋体" w:eastAsia="宋体" w:cs="宋体"/>
                <w:szCs w:val="21"/>
                <w:highlight w:val="none"/>
              </w:rPr>
            </w:pPr>
          </w:p>
        </w:tc>
        <w:tc>
          <w:tcPr>
            <w:tcW w:w="1239" w:type="dxa"/>
            <w:noWrap/>
            <w:vAlign w:val="center"/>
          </w:tcPr>
          <w:p w14:paraId="6BF07EBD">
            <w:pPr>
              <w:widowControl/>
              <w:snapToGrid w:val="0"/>
              <w:jc w:val="center"/>
              <w:textAlignment w:val="center"/>
              <w:rPr>
                <w:rFonts w:hint="eastAsia" w:ascii="宋体" w:hAnsi="宋体" w:eastAsia="宋体" w:cs="宋体"/>
                <w:szCs w:val="21"/>
                <w:highlight w:val="none"/>
              </w:rPr>
            </w:pPr>
            <w:r>
              <w:rPr>
                <w:rFonts w:hint="eastAsia" w:ascii="宋体" w:hAnsi="宋体" w:eastAsia="宋体" w:cs="宋体"/>
                <w:color w:val="000000"/>
                <w:kern w:val="0"/>
                <w:szCs w:val="21"/>
                <w:highlight w:val="none"/>
              </w:rPr>
              <w:t>智能气体消防系统</w:t>
            </w:r>
          </w:p>
        </w:tc>
        <w:tc>
          <w:tcPr>
            <w:tcW w:w="1538" w:type="dxa"/>
            <w:noWrap/>
            <w:vAlign w:val="center"/>
          </w:tcPr>
          <w:p w14:paraId="70C7736E">
            <w:pPr>
              <w:widowControl/>
              <w:snapToGrid w:val="0"/>
              <w:jc w:val="left"/>
              <w:textAlignment w:val="center"/>
              <w:rPr>
                <w:rFonts w:hint="eastAsia" w:ascii="宋体" w:hAnsi="宋体" w:eastAsia="宋体" w:cs="宋体"/>
                <w:szCs w:val="21"/>
                <w:highlight w:val="none"/>
              </w:rPr>
            </w:pPr>
            <w:r>
              <w:rPr>
                <w:rFonts w:hint="eastAsia" w:ascii="宋体" w:hAnsi="宋体" w:eastAsia="宋体" w:cs="宋体"/>
                <w:color w:val="000000"/>
                <w:kern w:val="0"/>
                <w:szCs w:val="21"/>
                <w:highlight w:val="none"/>
              </w:rPr>
              <w:t>详见技术参数</w:t>
            </w:r>
          </w:p>
        </w:tc>
        <w:tc>
          <w:tcPr>
            <w:tcW w:w="2752" w:type="dxa"/>
            <w:noWrap/>
            <w:vAlign w:val="center"/>
          </w:tcPr>
          <w:p w14:paraId="02271E70">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包含了，气体灭火主机，柜式七氟丙烷灭火装置，感温探测器，感烟探测器，紧急启停按钮，泄压口，声光报警，放气指示灯。</w:t>
            </w:r>
          </w:p>
        </w:tc>
        <w:tc>
          <w:tcPr>
            <w:tcW w:w="1157" w:type="dxa"/>
            <w:noWrap/>
            <w:vAlign w:val="center"/>
          </w:tcPr>
          <w:p w14:paraId="22EBAB0B">
            <w:pPr>
              <w:widowControl w:val="0"/>
              <w:jc w:val="center"/>
              <w:rPr>
                <w:rFonts w:hint="eastAsia" w:ascii="宋体" w:hAnsi="宋体" w:eastAsia="宋体" w:cs="宋体"/>
                <w:szCs w:val="21"/>
                <w:highlight w:val="none"/>
              </w:rPr>
            </w:pPr>
            <w:r>
              <w:rPr>
                <w:rFonts w:hint="eastAsia" w:ascii="宋体" w:hAnsi="宋体" w:eastAsia="宋体" w:cs="宋体"/>
                <w:color w:val="000000"/>
                <w:szCs w:val="21"/>
                <w:highlight w:val="none"/>
              </w:rPr>
              <w:t>套</w:t>
            </w:r>
          </w:p>
        </w:tc>
        <w:tc>
          <w:tcPr>
            <w:tcW w:w="1150" w:type="dxa"/>
            <w:noWrap/>
            <w:vAlign w:val="center"/>
          </w:tcPr>
          <w:p w14:paraId="49D58C9C">
            <w:pPr>
              <w:widowControl/>
              <w:snapToGrid w:val="0"/>
              <w:jc w:val="center"/>
              <w:textAlignment w:val="center"/>
              <w:rPr>
                <w:rFonts w:hint="eastAsia" w:ascii="宋体" w:hAnsi="宋体" w:eastAsia="宋体" w:cs="宋体"/>
                <w:szCs w:val="21"/>
                <w:highlight w:val="none"/>
              </w:rPr>
            </w:pPr>
            <w:r>
              <w:rPr>
                <w:rFonts w:hint="eastAsia" w:ascii="宋体" w:hAnsi="宋体" w:eastAsia="宋体" w:cs="宋体"/>
                <w:color w:val="000000"/>
                <w:szCs w:val="21"/>
                <w:highlight w:val="none"/>
              </w:rPr>
              <w:t>1</w:t>
            </w:r>
          </w:p>
        </w:tc>
        <w:tc>
          <w:tcPr>
            <w:tcW w:w="657" w:type="dxa"/>
            <w:noWrap/>
            <w:vAlign w:val="center"/>
          </w:tcPr>
          <w:p w14:paraId="7422CA45">
            <w:pPr>
              <w:widowControl/>
              <w:snapToGrid w:val="0"/>
              <w:jc w:val="center"/>
              <w:textAlignment w:val="center"/>
              <w:rPr>
                <w:rFonts w:hint="eastAsia" w:ascii="宋体" w:hAnsi="宋体" w:eastAsia="宋体" w:cs="宋体"/>
                <w:szCs w:val="21"/>
                <w:highlight w:val="none"/>
              </w:rPr>
            </w:pPr>
          </w:p>
        </w:tc>
      </w:tr>
      <w:tr w14:paraId="3A6A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3" w:hRule="atLeast"/>
          <w:jc w:val="center"/>
        </w:trPr>
        <w:tc>
          <w:tcPr>
            <w:tcW w:w="443" w:type="dxa"/>
            <w:noWrap/>
            <w:vAlign w:val="center"/>
          </w:tcPr>
          <w:p w14:paraId="379AA5DE">
            <w:pPr>
              <w:widowControl w:val="0"/>
              <w:numPr>
                <w:ilvl w:val="0"/>
                <w:numId w:val="3"/>
              </w:numPr>
              <w:jc w:val="right"/>
              <w:rPr>
                <w:rFonts w:hint="eastAsia" w:ascii="宋体" w:hAnsi="宋体" w:eastAsia="宋体" w:cs="宋体"/>
                <w:szCs w:val="21"/>
                <w:highlight w:val="none"/>
              </w:rPr>
            </w:pPr>
          </w:p>
        </w:tc>
        <w:tc>
          <w:tcPr>
            <w:tcW w:w="1239" w:type="dxa"/>
            <w:noWrap/>
            <w:vAlign w:val="center"/>
          </w:tcPr>
          <w:p w14:paraId="7BAFE88A">
            <w:pPr>
              <w:widowControl/>
              <w:jc w:val="center"/>
              <w:rPr>
                <w:rFonts w:hint="eastAsia" w:ascii="宋体" w:hAnsi="宋体" w:eastAsia="宋体" w:cs="宋体"/>
                <w:szCs w:val="21"/>
                <w:highlight w:val="none"/>
              </w:rPr>
            </w:pPr>
            <w:r>
              <w:rPr>
                <w:rFonts w:hint="eastAsia" w:ascii="宋体" w:hAnsi="宋体" w:eastAsia="宋体" w:cs="宋体"/>
                <w:szCs w:val="21"/>
                <w:highlight w:val="none"/>
              </w:rPr>
              <w:t>档案条目数据录入</w:t>
            </w:r>
          </w:p>
        </w:tc>
        <w:tc>
          <w:tcPr>
            <w:tcW w:w="1538" w:type="dxa"/>
            <w:noWrap/>
            <w:vAlign w:val="center"/>
          </w:tcPr>
          <w:p w14:paraId="15CFA0FA">
            <w:pPr>
              <w:widowControl/>
              <w:jc w:val="left"/>
              <w:textAlignment w:val="center"/>
              <w:rPr>
                <w:rFonts w:hint="eastAsia" w:ascii="宋体" w:hAnsi="宋体" w:eastAsia="宋体" w:cs="宋体"/>
                <w:szCs w:val="21"/>
                <w:highlight w:val="none"/>
              </w:rPr>
            </w:pPr>
            <w:r>
              <w:rPr>
                <w:rFonts w:hint="eastAsia" w:ascii="宋体" w:hAnsi="宋体" w:eastAsia="宋体" w:cs="宋体"/>
                <w:szCs w:val="21"/>
                <w:highlight w:val="none"/>
              </w:rPr>
              <w:t>详见技术参数</w:t>
            </w:r>
          </w:p>
        </w:tc>
        <w:tc>
          <w:tcPr>
            <w:tcW w:w="2752" w:type="dxa"/>
            <w:noWrap/>
            <w:vAlign w:val="center"/>
          </w:tcPr>
          <w:p w14:paraId="04F0E34E">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档案条目数据录入需按规范录入 10000 条档案核心信息，涵盖档案盒名称、年度、保管期限、存储位置等关键内容，确保数据完整准确、关联清晰，适配智慧档案管理平台，支持快速检索与定位，为档案智能管理奠定基础。</w:t>
            </w:r>
          </w:p>
        </w:tc>
        <w:tc>
          <w:tcPr>
            <w:tcW w:w="1157" w:type="dxa"/>
            <w:noWrap/>
            <w:vAlign w:val="center"/>
          </w:tcPr>
          <w:p w14:paraId="455C6068">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条</w:t>
            </w:r>
          </w:p>
        </w:tc>
        <w:tc>
          <w:tcPr>
            <w:tcW w:w="1150" w:type="dxa"/>
            <w:noWrap/>
            <w:vAlign w:val="center"/>
          </w:tcPr>
          <w:p w14:paraId="43F0EEA2">
            <w:pPr>
              <w:widowControl/>
              <w:jc w:val="center"/>
              <w:textAlignment w:val="center"/>
              <w:rPr>
                <w:rFonts w:hint="eastAsia" w:ascii="宋体" w:hAnsi="宋体" w:eastAsia="宋体" w:cs="宋体"/>
                <w:szCs w:val="21"/>
                <w:highlight w:val="none"/>
              </w:rPr>
            </w:pPr>
            <w:r>
              <w:rPr>
                <w:rFonts w:hint="eastAsia" w:ascii="宋体" w:hAnsi="宋体" w:eastAsia="宋体" w:cs="宋体"/>
                <w:szCs w:val="21"/>
                <w:highlight w:val="none"/>
              </w:rPr>
              <w:t>10000</w:t>
            </w:r>
          </w:p>
        </w:tc>
        <w:tc>
          <w:tcPr>
            <w:tcW w:w="657" w:type="dxa"/>
            <w:noWrap/>
            <w:vAlign w:val="center"/>
          </w:tcPr>
          <w:p w14:paraId="4E4E3332">
            <w:pPr>
              <w:widowControl/>
              <w:jc w:val="center"/>
              <w:textAlignment w:val="center"/>
              <w:rPr>
                <w:rFonts w:hint="eastAsia" w:ascii="宋体" w:hAnsi="宋体" w:eastAsia="宋体" w:cs="宋体"/>
                <w:szCs w:val="21"/>
                <w:highlight w:val="none"/>
              </w:rPr>
            </w:pPr>
          </w:p>
        </w:tc>
      </w:tr>
      <w:tr w14:paraId="1E048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443" w:type="dxa"/>
            <w:noWrap/>
            <w:vAlign w:val="center"/>
          </w:tcPr>
          <w:p w14:paraId="2776AE9C">
            <w:pPr>
              <w:widowControl w:val="0"/>
              <w:numPr>
                <w:ilvl w:val="0"/>
                <w:numId w:val="3"/>
              </w:numPr>
              <w:jc w:val="right"/>
              <w:rPr>
                <w:rFonts w:hint="eastAsia" w:ascii="宋体" w:hAnsi="宋体" w:eastAsia="宋体" w:cs="宋体"/>
                <w:szCs w:val="21"/>
                <w:highlight w:val="none"/>
              </w:rPr>
            </w:pPr>
          </w:p>
        </w:tc>
        <w:tc>
          <w:tcPr>
            <w:tcW w:w="1239" w:type="dxa"/>
            <w:noWrap/>
            <w:vAlign w:val="center"/>
          </w:tcPr>
          <w:p w14:paraId="45006C52">
            <w:pPr>
              <w:widowControl/>
              <w:jc w:val="center"/>
              <w:rPr>
                <w:rFonts w:hint="eastAsia" w:ascii="宋体" w:hAnsi="宋体" w:eastAsia="宋体" w:cs="宋体"/>
                <w:szCs w:val="21"/>
                <w:highlight w:val="none"/>
              </w:rPr>
            </w:pPr>
            <w:r>
              <w:rPr>
                <w:rFonts w:hint="eastAsia" w:ascii="宋体" w:hAnsi="宋体" w:eastAsia="宋体" w:cs="宋体"/>
                <w:szCs w:val="21"/>
                <w:highlight w:val="none"/>
              </w:rPr>
              <w:t>档案数据传输</w:t>
            </w:r>
          </w:p>
        </w:tc>
        <w:tc>
          <w:tcPr>
            <w:tcW w:w="1538" w:type="dxa"/>
            <w:noWrap/>
            <w:vAlign w:val="center"/>
          </w:tcPr>
          <w:p w14:paraId="786BD4C9">
            <w:pPr>
              <w:widowControl/>
              <w:jc w:val="left"/>
              <w:textAlignment w:val="center"/>
              <w:rPr>
                <w:rFonts w:hint="eastAsia" w:ascii="宋体" w:hAnsi="宋体" w:eastAsia="宋体" w:cs="宋体"/>
                <w:szCs w:val="21"/>
                <w:highlight w:val="none"/>
              </w:rPr>
            </w:pPr>
            <w:r>
              <w:rPr>
                <w:rFonts w:hint="eastAsia" w:ascii="宋体" w:hAnsi="宋体" w:eastAsia="宋体" w:cs="宋体"/>
                <w:szCs w:val="21"/>
                <w:highlight w:val="none"/>
              </w:rPr>
              <w:t>详见技术参数</w:t>
            </w:r>
          </w:p>
        </w:tc>
        <w:tc>
          <w:tcPr>
            <w:tcW w:w="2752" w:type="dxa"/>
            <w:noWrap/>
            <w:vAlign w:val="center"/>
          </w:tcPr>
          <w:p w14:paraId="65249C69">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档案数据传输需搭建安全稳定的传输通道，支持网络传输、移动存储设备传输等多种方式及 PDF、EXCEL 等常见档案数据格式，可实现不同格式数据转换与处理；通过用户名 / 密码身份认证、角色权限访问控制保障数据安全，配合详细项目实施计划、系统使用培训及严格保密措施，确保档案数据传输完整、兼容、安全合规，满足数字化共享与管理需求</w:t>
            </w:r>
          </w:p>
        </w:tc>
        <w:tc>
          <w:tcPr>
            <w:tcW w:w="1157" w:type="dxa"/>
            <w:noWrap/>
            <w:vAlign w:val="center"/>
          </w:tcPr>
          <w:p w14:paraId="0F026CE1">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项</w:t>
            </w:r>
          </w:p>
        </w:tc>
        <w:tc>
          <w:tcPr>
            <w:tcW w:w="1150" w:type="dxa"/>
            <w:noWrap/>
            <w:vAlign w:val="center"/>
          </w:tcPr>
          <w:p w14:paraId="2EAA622B">
            <w:pPr>
              <w:widowControl/>
              <w:jc w:val="center"/>
              <w:textAlignment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657" w:type="dxa"/>
            <w:noWrap/>
            <w:vAlign w:val="center"/>
          </w:tcPr>
          <w:p w14:paraId="33E685E3">
            <w:pPr>
              <w:widowControl/>
              <w:jc w:val="center"/>
              <w:textAlignment w:val="center"/>
              <w:rPr>
                <w:rFonts w:hint="eastAsia" w:ascii="宋体" w:hAnsi="宋体" w:eastAsia="宋体" w:cs="宋体"/>
                <w:szCs w:val="21"/>
                <w:highlight w:val="none"/>
              </w:rPr>
            </w:pPr>
          </w:p>
        </w:tc>
      </w:tr>
      <w:tr w14:paraId="231A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5" w:hRule="atLeast"/>
          <w:jc w:val="center"/>
        </w:trPr>
        <w:tc>
          <w:tcPr>
            <w:tcW w:w="443" w:type="dxa"/>
            <w:noWrap/>
            <w:vAlign w:val="center"/>
          </w:tcPr>
          <w:p w14:paraId="3EF6BD88">
            <w:pPr>
              <w:widowControl w:val="0"/>
              <w:numPr>
                <w:ilvl w:val="0"/>
                <w:numId w:val="3"/>
              </w:numPr>
              <w:jc w:val="right"/>
              <w:rPr>
                <w:rFonts w:hint="eastAsia" w:ascii="宋体" w:hAnsi="宋体" w:eastAsia="宋体" w:cs="宋体"/>
                <w:szCs w:val="21"/>
                <w:highlight w:val="none"/>
              </w:rPr>
            </w:pPr>
          </w:p>
        </w:tc>
        <w:tc>
          <w:tcPr>
            <w:tcW w:w="1239" w:type="dxa"/>
            <w:noWrap/>
            <w:vAlign w:val="center"/>
          </w:tcPr>
          <w:p w14:paraId="4D11374A">
            <w:pPr>
              <w:widowControl/>
              <w:jc w:val="center"/>
              <w:rPr>
                <w:rFonts w:hint="eastAsia" w:ascii="宋体" w:hAnsi="宋体" w:eastAsia="宋体" w:cs="宋体"/>
                <w:szCs w:val="21"/>
                <w:highlight w:val="none"/>
              </w:rPr>
            </w:pPr>
            <w:r>
              <w:rPr>
                <w:rFonts w:hint="eastAsia" w:ascii="宋体" w:hAnsi="宋体" w:eastAsia="宋体" w:cs="宋体"/>
                <w:szCs w:val="21"/>
                <w:highlight w:val="none"/>
              </w:rPr>
              <w:t>甲级防盗门</w:t>
            </w:r>
          </w:p>
        </w:tc>
        <w:tc>
          <w:tcPr>
            <w:tcW w:w="1538" w:type="dxa"/>
            <w:noWrap/>
            <w:vAlign w:val="center"/>
          </w:tcPr>
          <w:p w14:paraId="4C09E6C0">
            <w:pPr>
              <w:widowControl/>
              <w:jc w:val="center"/>
              <w:rPr>
                <w:rFonts w:hint="eastAsia" w:ascii="宋体" w:hAnsi="宋体" w:eastAsia="宋体" w:cs="宋体"/>
                <w:szCs w:val="21"/>
                <w:highlight w:val="none"/>
              </w:rPr>
            </w:pPr>
            <w:r>
              <w:rPr>
                <w:rFonts w:hint="eastAsia" w:ascii="宋体" w:hAnsi="宋体" w:eastAsia="宋体" w:cs="宋体"/>
                <w:szCs w:val="21"/>
                <w:highlight w:val="none"/>
              </w:rPr>
              <w:t>甲级防盗门1500*2100mm；</w:t>
            </w:r>
          </w:p>
          <w:p w14:paraId="727C9D8E">
            <w:pPr>
              <w:widowControl/>
              <w:jc w:val="center"/>
              <w:rPr>
                <w:rFonts w:hint="eastAsia" w:ascii="宋体" w:hAnsi="宋体" w:eastAsia="宋体" w:cs="宋体"/>
                <w:szCs w:val="21"/>
                <w:highlight w:val="none"/>
              </w:rPr>
            </w:pPr>
            <w:r>
              <w:rPr>
                <w:rFonts w:hint="eastAsia" w:ascii="宋体" w:hAnsi="宋体" w:eastAsia="宋体" w:cs="宋体"/>
                <w:szCs w:val="21"/>
                <w:highlight w:val="none"/>
              </w:rPr>
              <w:t>运输费；人工费。</w:t>
            </w:r>
          </w:p>
        </w:tc>
        <w:tc>
          <w:tcPr>
            <w:tcW w:w="2752" w:type="dxa"/>
            <w:noWrap/>
            <w:vAlign w:val="center"/>
          </w:tcPr>
          <w:p w14:paraId="7D564676">
            <w:pPr>
              <w:widowControl w:val="0"/>
              <w:jc w:val="left"/>
              <w:rPr>
                <w:rFonts w:hint="eastAsia" w:ascii="宋体" w:hAnsi="宋体" w:eastAsia="宋体" w:cs="宋体"/>
                <w:szCs w:val="21"/>
                <w:highlight w:val="none"/>
              </w:rPr>
            </w:pPr>
            <w:r>
              <w:rPr>
                <w:rFonts w:hint="eastAsia" w:ascii="宋体" w:hAnsi="宋体" w:eastAsia="宋体" w:cs="宋体"/>
                <w:szCs w:val="21"/>
                <w:highlight w:val="none"/>
              </w:rPr>
              <w:t>甲级防盗门（规格 1500*2100mm）采用高强度钢板打造，门框与门扇配备多点锁闭结构，具备强效抗破坏性能；搭配木质门套与优质密封条，增强密封与结构稳定性；兼顾防盗、隔音、防潮功能，适配档案库房物理防护需求，阻断外部入侵风险，保障库房及档案资产安全</w:t>
            </w:r>
          </w:p>
        </w:tc>
        <w:tc>
          <w:tcPr>
            <w:tcW w:w="1157" w:type="dxa"/>
            <w:noWrap/>
            <w:vAlign w:val="center"/>
          </w:tcPr>
          <w:p w14:paraId="2E8CC22A">
            <w:pPr>
              <w:widowControl w:val="0"/>
              <w:jc w:val="center"/>
              <w:rPr>
                <w:rFonts w:hint="eastAsia" w:ascii="宋体" w:hAnsi="宋体" w:eastAsia="宋体" w:cs="宋体"/>
                <w:szCs w:val="21"/>
                <w:highlight w:val="none"/>
              </w:rPr>
            </w:pPr>
            <w:r>
              <w:rPr>
                <w:rFonts w:hint="eastAsia" w:ascii="宋体" w:hAnsi="宋体" w:eastAsia="宋体" w:cs="宋体"/>
                <w:color w:val="000000"/>
                <w:kern w:val="0"/>
                <w:szCs w:val="21"/>
                <w:highlight w:val="none"/>
              </w:rPr>
              <w:t>樘</w:t>
            </w:r>
          </w:p>
        </w:tc>
        <w:tc>
          <w:tcPr>
            <w:tcW w:w="1150" w:type="dxa"/>
            <w:noWrap/>
            <w:vAlign w:val="center"/>
          </w:tcPr>
          <w:p w14:paraId="24014AD2">
            <w:pPr>
              <w:widowControl/>
              <w:snapToGrid w:val="0"/>
              <w:jc w:val="center"/>
              <w:textAlignment w:val="center"/>
              <w:rPr>
                <w:rFonts w:hint="eastAsia" w:ascii="宋体" w:hAnsi="宋体" w:eastAsia="宋体" w:cs="宋体"/>
                <w:szCs w:val="21"/>
                <w:highlight w:val="none"/>
              </w:rPr>
            </w:pPr>
            <w:r>
              <w:rPr>
                <w:rFonts w:hint="eastAsia" w:ascii="宋体" w:hAnsi="宋体" w:eastAsia="宋体" w:cs="宋体"/>
                <w:color w:val="000000"/>
                <w:kern w:val="0"/>
                <w:szCs w:val="21"/>
                <w:highlight w:val="none"/>
              </w:rPr>
              <w:t>1</w:t>
            </w:r>
          </w:p>
        </w:tc>
        <w:tc>
          <w:tcPr>
            <w:tcW w:w="657" w:type="dxa"/>
            <w:noWrap/>
            <w:vAlign w:val="center"/>
          </w:tcPr>
          <w:p w14:paraId="49AC81EE">
            <w:pPr>
              <w:widowControl/>
              <w:snapToGrid w:val="0"/>
              <w:jc w:val="center"/>
              <w:textAlignment w:val="center"/>
              <w:rPr>
                <w:rFonts w:hint="eastAsia" w:ascii="宋体" w:hAnsi="宋体" w:eastAsia="宋体" w:cs="宋体"/>
                <w:szCs w:val="21"/>
                <w:highlight w:val="none"/>
              </w:rPr>
            </w:pPr>
          </w:p>
        </w:tc>
      </w:tr>
      <w:tr w14:paraId="5D81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2" w:hRule="atLeast"/>
          <w:jc w:val="center"/>
        </w:trPr>
        <w:tc>
          <w:tcPr>
            <w:tcW w:w="443" w:type="dxa"/>
            <w:noWrap/>
            <w:vAlign w:val="center"/>
          </w:tcPr>
          <w:p w14:paraId="1C1C4726">
            <w:pPr>
              <w:widowControl w:val="0"/>
              <w:numPr>
                <w:ilvl w:val="0"/>
                <w:numId w:val="3"/>
              </w:numPr>
              <w:jc w:val="right"/>
              <w:rPr>
                <w:rFonts w:hint="eastAsia" w:ascii="宋体" w:hAnsi="宋体" w:eastAsia="宋体" w:cs="宋体"/>
                <w:szCs w:val="21"/>
                <w:highlight w:val="none"/>
              </w:rPr>
            </w:pPr>
          </w:p>
        </w:tc>
        <w:tc>
          <w:tcPr>
            <w:tcW w:w="1239" w:type="dxa"/>
            <w:noWrap/>
            <w:vAlign w:val="center"/>
          </w:tcPr>
          <w:p w14:paraId="2DDA07C5">
            <w:pPr>
              <w:widowControl/>
              <w:jc w:val="center"/>
              <w:rPr>
                <w:rFonts w:hint="eastAsia" w:ascii="宋体" w:hAnsi="宋体" w:eastAsia="宋体" w:cs="宋体"/>
                <w:szCs w:val="21"/>
                <w:highlight w:val="none"/>
              </w:rPr>
            </w:pPr>
            <w:r>
              <w:rPr>
                <w:rFonts w:hint="eastAsia" w:ascii="宋体" w:hAnsi="宋体" w:eastAsia="宋体" w:cs="宋体"/>
                <w:szCs w:val="21"/>
                <w:highlight w:val="none"/>
              </w:rPr>
              <w:t>防盗门套</w:t>
            </w:r>
          </w:p>
        </w:tc>
        <w:tc>
          <w:tcPr>
            <w:tcW w:w="1538" w:type="dxa"/>
            <w:noWrap/>
            <w:vAlign w:val="center"/>
          </w:tcPr>
          <w:p w14:paraId="34B86960">
            <w:pPr>
              <w:widowControl/>
              <w:jc w:val="center"/>
              <w:rPr>
                <w:rFonts w:hint="eastAsia" w:ascii="宋体" w:hAnsi="宋体" w:eastAsia="宋体" w:cs="宋体"/>
                <w:szCs w:val="21"/>
                <w:highlight w:val="none"/>
              </w:rPr>
            </w:pPr>
            <w:r>
              <w:rPr>
                <w:rFonts w:hint="eastAsia" w:ascii="宋体" w:hAnsi="宋体" w:eastAsia="宋体" w:cs="宋体"/>
                <w:szCs w:val="21"/>
                <w:highlight w:val="none"/>
              </w:rPr>
              <w:t>防盗门木质门套1500*2100mm；</w:t>
            </w:r>
          </w:p>
          <w:p w14:paraId="3F4251BE">
            <w:pPr>
              <w:widowControl/>
              <w:jc w:val="center"/>
              <w:rPr>
                <w:rFonts w:hint="eastAsia" w:ascii="宋体" w:hAnsi="宋体" w:eastAsia="宋体" w:cs="宋体"/>
                <w:szCs w:val="21"/>
                <w:highlight w:val="none"/>
              </w:rPr>
            </w:pPr>
            <w:r>
              <w:rPr>
                <w:rFonts w:hint="eastAsia" w:ascii="宋体" w:hAnsi="宋体" w:eastAsia="宋体" w:cs="宋体"/>
                <w:szCs w:val="21"/>
                <w:highlight w:val="none"/>
              </w:rPr>
              <w:t>运输费；人工费。</w:t>
            </w:r>
          </w:p>
        </w:tc>
        <w:tc>
          <w:tcPr>
            <w:tcW w:w="2752" w:type="dxa"/>
            <w:noWrap/>
            <w:vAlign w:val="center"/>
          </w:tcPr>
          <w:p w14:paraId="230E3338">
            <w:pPr>
              <w:widowControl w:val="0"/>
              <w:jc w:val="left"/>
              <w:rPr>
                <w:rFonts w:hint="eastAsia" w:ascii="宋体" w:hAnsi="宋体" w:eastAsia="宋体" w:cs="宋体"/>
                <w:szCs w:val="21"/>
                <w:highlight w:val="none"/>
              </w:rPr>
            </w:pPr>
            <w:r>
              <w:rPr>
                <w:rFonts w:hint="eastAsia" w:ascii="宋体" w:hAnsi="宋体" w:eastAsia="宋体" w:cs="宋体"/>
                <w:szCs w:val="21"/>
                <w:highlight w:val="none"/>
              </w:rPr>
              <w:t>防盗门套（木质，规格 1500*2100mm，工程量 5.72m）作为甲级防盗门配套构件，需与门体精准适配，强化门体安装稳定性与结构牢固性；具备密封防护功能，减少门体与墙体间隙，辅助提升隔音、防潮效果；表面工艺精良，兼顾外观装饰性与耐用性，与防盗门协同构建库房物理防护屏障，保障档案存储环境安全。</w:t>
            </w:r>
          </w:p>
        </w:tc>
        <w:tc>
          <w:tcPr>
            <w:tcW w:w="1157" w:type="dxa"/>
            <w:noWrap/>
            <w:vAlign w:val="center"/>
          </w:tcPr>
          <w:p w14:paraId="2044E857">
            <w:pPr>
              <w:widowControl w:val="0"/>
              <w:jc w:val="center"/>
              <w:rPr>
                <w:rFonts w:hint="eastAsia" w:ascii="宋体" w:hAnsi="宋体" w:eastAsia="宋体" w:cs="宋体"/>
                <w:szCs w:val="21"/>
                <w:highlight w:val="none"/>
              </w:rPr>
            </w:pPr>
            <w:r>
              <w:rPr>
                <w:rFonts w:hint="eastAsia" w:ascii="宋体" w:hAnsi="宋体" w:eastAsia="宋体" w:cs="宋体"/>
                <w:highlight w:val="none"/>
              </w:rPr>
              <w:t>m</w:t>
            </w:r>
          </w:p>
        </w:tc>
        <w:tc>
          <w:tcPr>
            <w:tcW w:w="1150" w:type="dxa"/>
            <w:noWrap/>
            <w:vAlign w:val="center"/>
          </w:tcPr>
          <w:p w14:paraId="12D2F51A">
            <w:pPr>
              <w:widowControl w:val="0"/>
              <w:rPr>
                <w:rFonts w:hint="eastAsia" w:ascii="宋体" w:hAnsi="宋体" w:eastAsia="宋体" w:cs="宋体"/>
                <w:highlight w:val="none"/>
              </w:rPr>
            </w:pPr>
            <w:r>
              <w:rPr>
                <w:rFonts w:hint="eastAsia" w:ascii="宋体" w:hAnsi="宋体" w:eastAsia="宋体" w:cs="宋体"/>
                <w:highlight w:val="none"/>
              </w:rPr>
              <w:t>5.72</w:t>
            </w:r>
          </w:p>
        </w:tc>
        <w:tc>
          <w:tcPr>
            <w:tcW w:w="657" w:type="dxa"/>
            <w:noWrap/>
            <w:vAlign w:val="center"/>
          </w:tcPr>
          <w:p w14:paraId="70F8490C">
            <w:pPr>
              <w:widowControl w:val="0"/>
              <w:rPr>
                <w:rFonts w:hint="eastAsia" w:ascii="宋体" w:hAnsi="宋体" w:eastAsia="宋体" w:cs="宋体"/>
                <w:highlight w:val="none"/>
              </w:rPr>
            </w:pPr>
          </w:p>
        </w:tc>
      </w:tr>
      <w:tr w14:paraId="649B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jc w:val="center"/>
        </w:trPr>
        <w:tc>
          <w:tcPr>
            <w:tcW w:w="443" w:type="dxa"/>
            <w:noWrap/>
            <w:vAlign w:val="center"/>
          </w:tcPr>
          <w:p w14:paraId="398DE680">
            <w:pPr>
              <w:widowControl w:val="0"/>
              <w:numPr>
                <w:ilvl w:val="0"/>
                <w:numId w:val="3"/>
              </w:numPr>
              <w:jc w:val="center"/>
              <w:rPr>
                <w:rFonts w:hint="eastAsia" w:ascii="宋体" w:hAnsi="宋体" w:eastAsia="宋体" w:cs="宋体"/>
                <w:szCs w:val="21"/>
                <w:highlight w:val="none"/>
              </w:rPr>
            </w:pPr>
          </w:p>
        </w:tc>
        <w:tc>
          <w:tcPr>
            <w:tcW w:w="1239" w:type="dxa"/>
            <w:noWrap/>
            <w:vAlign w:val="center"/>
          </w:tcPr>
          <w:p w14:paraId="1E0288BD">
            <w:pPr>
              <w:pStyle w:val="26"/>
              <w:widowControl w:val="0"/>
              <w:spacing w:before="136"/>
              <w:ind w:left="74"/>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窗户防盗网</w:t>
            </w:r>
          </w:p>
        </w:tc>
        <w:tc>
          <w:tcPr>
            <w:tcW w:w="1538" w:type="dxa"/>
            <w:noWrap/>
            <w:vAlign w:val="center"/>
          </w:tcPr>
          <w:p w14:paraId="774B3913">
            <w:pPr>
              <w:pStyle w:val="26"/>
              <w:widowControl w:val="0"/>
              <w:ind w:left="661"/>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p>
          <w:p w14:paraId="1676D61E">
            <w:pPr>
              <w:pStyle w:val="26"/>
              <w:widowControl w:val="0"/>
              <w:numPr>
                <w:ilvl w:val="0"/>
                <w:numId w:val="4"/>
              </w:numPr>
              <w:spacing w:before="91"/>
              <w:ind w:left="57"/>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不锈钢防盗网；</w:t>
            </w:r>
          </w:p>
          <w:p w14:paraId="393854D0">
            <w:pPr>
              <w:pStyle w:val="26"/>
              <w:widowControl w:val="0"/>
              <w:spacing w:before="91"/>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2、人工费。</w:t>
            </w:r>
          </w:p>
        </w:tc>
        <w:tc>
          <w:tcPr>
            <w:tcW w:w="2752" w:type="dxa"/>
            <w:noWrap/>
            <w:vAlign w:val="center"/>
          </w:tcPr>
          <w:p w14:paraId="09395876">
            <w:pPr>
              <w:widowControl w:val="0"/>
              <w:jc w:val="center"/>
              <w:rPr>
                <w:rFonts w:hint="eastAsia" w:ascii="宋体" w:hAnsi="宋体" w:eastAsia="宋体" w:cs="宋体"/>
                <w:szCs w:val="21"/>
                <w:highlight w:val="none"/>
              </w:rPr>
            </w:pPr>
            <w:r>
              <w:rPr>
                <w:rFonts w:hint="eastAsia" w:ascii="宋体" w:hAnsi="宋体" w:eastAsia="宋体" w:cs="宋体"/>
                <w:szCs w:val="21"/>
                <w:highlight w:val="none"/>
              </w:rPr>
              <w:t>窗户防盗网用坚固不锈钢结构，网格布局合理，兼具物理防护与通风透光功能；能有效抵御外力破坏、防止非法攀爬入室，阻断外部入侵风险；安装牢固且适配窗户尺寸，与防盗门协同构建库房外部物理防护屏障，保障档案库房及内部资产安全。</w:t>
            </w:r>
          </w:p>
        </w:tc>
        <w:tc>
          <w:tcPr>
            <w:tcW w:w="1157" w:type="dxa"/>
            <w:noWrap/>
            <w:vAlign w:val="center"/>
          </w:tcPr>
          <w:p w14:paraId="53CA21D5">
            <w:pPr>
              <w:widowControl w:val="0"/>
              <w:jc w:val="center"/>
              <w:rPr>
                <w:rFonts w:hint="eastAsia" w:ascii="宋体" w:hAnsi="宋体" w:eastAsia="宋体" w:cs="宋体"/>
                <w:szCs w:val="21"/>
                <w:highlight w:val="none"/>
              </w:rPr>
            </w:pPr>
            <w:r>
              <w:rPr>
                <w:rFonts w:hint="eastAsia" w:ascii="宋体" w:hAnsi="宋体" w:eastAsia="宋体" w:cs="宋体"/>
                <w:highlight w:val="none"/>
              </w:rPr>
              <w:t>㎡</w:t>
            </w:r>
          </w:p>
        </w:tc>
        <w:tc>
          <w:tcPr>
            <w:tcW w:w="1150" w:type="dxa"/>
            <w:noWrap/>
            <w:vAlign w:val="center"/>
          </w:tcPr>
          <w:p w14:paraId="2BF2B819">
            <w:pPr>
              <w:widowControl w:val="0"/>
              <w:rPr>
                <w:rFonts w:hint="eastAsia" w:ascii="宋体" w:hAnsi="宋体" w:eastAsia="宋体" w:cs="宋体"/>
                <w:highlight w:val="none"/>
              </w:rPr>
            </w:pPr>
            <w:r>
              <w:rPr>
                <w:rFonts w:hint="eastAsia" w:ascii="宋体" w:hAnsi="宋体" w:eastAsia="宋体" w:cs="宋体"/>
                <w:highlight w:val="none"/>
              </w:rPr>
              <w:t>19.70</w:t>
            </w:r>
          </w:p>
        </w:tc>
        <w:tc>
          <w:tcPr>
            <w:tcW w:w="657" w:type="dxa"/>
            <w:noWrap/>
            <w:vAlign w:val="center"/>
          </w:tcPr>
          <w:p w14:paraId="33CB2490">
            <w:pPr>
              <w:widowControl w:val="0"/>
              <w:rPr>
                <w:rFonts w:hint="eastAsia" w:ascii="宋体" w:hAnsi="宋体" w:eastAsia="宋体" w:cs="宋体"/>
                <w:highlight w:val="none"/>
              </w:rPr>
            </w:pPr>
          </w:p>
        </w:tc>
      </w:tr>
    </w:tbl>
    <w:p w14:paraId="3DC8A35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三、参数要求</w:t>
      </w:r>
    </w:p>
    <w:p w14:paraId="3A0C3CD9">
      <w:pPr>
        <w:rPr>
          <w:rFonts w:hint="eastAsia" w:ascii="宋体" w:hAnsi="宋体" w:eastAsia="宋体" w:cs="宋体"/>
          <w:b/>
          <w:bCs/>
          <w:highlight w:val="none"/>
          <w:lang w:val="en-US" w:eastAsia="zh-CN"/>
        </w:rPr>
      </w:pPr>
      <w:bookmarkStart w:id="154" w:name="_Toc524440145"/>
      <w:r>
        <w:rPr>
          <w:rFonts w:hint="eastAsia" w:ascii="宋体" w:hAnsi="宋体" w:eastAsia="宋体" w:cs="宋体"/>
          <w:b/>
          <w:bCs/>
          <w:highlight w:val="none"/>
          <w:lang w:val="en-US" w:eastAsia="zh-CN"/>
        </w:rPr>
        <w:br w:type="page"/>
      </w:r>
    </w:p>
    <w:p w14:paraId="37B46ECC">
      <w:pPr>
        <w:pStyle w:val="4"/>
        <w:bidi w:val="0"/>
        <w:rPr>
          <w:rFonts w:hint="eastAsia" w:ascii="宋体" w:hAnsi="宋体" w:eastAsia="宋体" w:cs="宋体"/>
          <w:highlight w:val="none"/>
          <w:lang w:val="en-US" w:eastAsia="zh-CN"/>
        </w:rPr>
      </w:pPr>
      <w:r>
        <w:rPr>
          <w:rFonts w:hint="eastAsia" w:ascii="宋体" w:hAnsi="宋体" w:eastAsia="宋体" w:cs="宋体"/>
          <w:b/>
          <w:bCs/>
          <w:highlight w:val="none"/>
          <w:lang w:val="en-US" w:eastAsia="zh-CN"/>
        </w:rPr>
        <w:t>（一）</w:t>
      </w:r>
      <w:r>
        <w:rPr>
          <w:rFonts w:hint="eastAsia" w:ascii="宋体" w:hAnsi="宋体" w:eastAsia="宋体" w:cs="宋体"/>
          <w:highlight w:val="none"/>
          <w:lang w:val="en-US" w:eastAsia="zh-CN"/>
        </w:rPr>
        <w:t>智能密集架技术参数要求</w:t>
      </w:r>
    </w:p>
    <w:tbl>
      <w:tblPr>
        <w:tblStyle w:val="27"/>
        <w:tblW w:w="946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35"/>
        <w:gridCol w:w="1341"/>
        <w:gridCol w:w="7384"/>
      </w:tblGrid>
      <w:tr w14:paraId="41208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735" w:type="dxa"/>
            <w:shd w:val="clear" w:color="auto" w:fill="BEBEBE"/>
            <w:noWrap w:val="0"/>
            <w:vAlign w:val="center"/>
          </w:tcPr>
          <w:p w14:paraId="56B36CB7">
            <w:pPr>
              <w:pStyle w:val="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序号</w:t>
            </w:r>
          </w:p>
        </w:tc>
        <w:tc>
          <w:tcPr>
            <w:tcW w:w="1341" w:type="dxa"/>
            <w:shd w:val="clear" w:color="auto" w:fill="BEBEBE"/>
            <w:noWrap w:val="0"/>
            <w:vAlign w:val="center"/>
          </w:tcPr>
          <w:p w14:paraId="328D322E">
            <w:pPr>
              <w:pStyle w:val="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建设内容</w:t>
            </w:r>
          </w:p>
        </w:tc>
        <w:tc>
          <w:tcPr>
            <w:tcW w:w="7384" w:type="dxa"/>
            <w:shd w:val="clear" w:color="auto" w:fill="BEBEBE"/>
            <w:noWrap w:val="0"/>
            <w:vAlign w:val="center"/>
          </w:tcPr>
          <w:p w14:paraId="207B5A4C">
            <w:pPr>
              <w:pStyle w:val="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技术要求</w:t>
            </w:r>
          </w:p>
        </w:tc>
      </w:tr>
      <w:tr w14:paraId="783C9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735" w:type="dxa"/>
            <w:shd w:val="clear" w:color="auto" w:fill="D7D7D7"/>
            <w:noWrap w:val="0"/>
            <w:vAlign w:val="center"/>
          </w:tcPr>
          <w:p w14:paraId="556C268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一</w:t>
            </w:r>
          </w:p>
        </w:tc>
        <w:tc>
          <w:tcPr>
            <w:tcW w:w="8725" w:type="dxa"/>
            <w:gridSpan w:val="2"/>
            <w:shd w:val="clear" w:color="auto" w:fill="D7D7D7"/>
            <w:noWrap w:val="0"/>
            <w:vAlign w:val="center"/>
          </w:tcPr>
          <w:p w14:paraId="42E5D746">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pacing w:val="18"/>
                <w:sz w:val="21"/>
                <w:szCs w:val="21"/>
                <w:highlight w:val="none"/>
                <w:lang w:eastAsia="zh-CN"/>
              </w:rPr>
              <w:t>智能密集架</w:t>
            </w:r>
          </w:p>
        </w:tc>
      </w:tr>
      <w:tr w14:paraId="116734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35" w:type="dxa"/>
            <w:noWrap w:val="0"/>
            <w:vAlign w:val="center"/>
          </w:tcPr>
          <w:p w14:paraId="083E633F">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w:t>
            </w:r>
          </w:p>
        </w:tc>
        <w:tc>
          <w:tcPr>
            <w:tcW w:w="1341" w:type="dxa"/>
            <w:noWrap w:val="0"/>
            <w:vAlign w:val="center"/>
          </w:tcPr>
          <w:p w14:paraId="6AADF963">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智能型密集架</w:t>
            </w:r>
          </w:p>
        </w:tc>
        <w:tc>
          <w:tcPr>
            <w:tcW w:w="7384" w:type="dxa"/>
            <w:noWrap w:val="0"/>
            <w:vAlign w:val="center"/>
          </w:tcPr>
          <w:p w14:paraId="16C2E4A9">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一、产品执行标准</w:t>
            </w:r>
          </w:p>
          <w:p w14:paraId="2DACC7F6">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货物需遵循主要国家标准和行业标准。符合相关技术规范(若国家有最新的标准或规范出台，以最新的为准)：</w:t>
            </w:r>
          </w:p>
          <w:p w14:paraId="22BCADB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1、GB/T 13667.4-2013《钢制书架第4部分：电动密集书架》；</w:t>
            </w:r>
          </w:p>
          <w:p w14:paraId="41DB8F9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2、GB/T 13667.3-2013《钢制书架第3部分：手动密集书架》；</w:t>
            </w:r>
          </w:p>
          <w:p w14:paraId="02322403">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3、GB/T 3325-2024《金属家具通用技术条件》；</w:t>
            </w:r>
          </w:p>
          <w:p w14:paraId="1C442A0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4、GB/T 35607-2024《绿色产品评价家具》；</w:t>
            </w:r>
          </w:p>
          <w:p w14:paraId="376D6C1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5、DA/T 7-1992《直列式档案密集架》。</w:t>
            </w:r>
          </w:p>
          <w:p w14:paraId="0DC3B936">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二、产品规格</w:t>
            </w:r>
          </w:p>
          <w:p w14:paraId="33FE7C7B">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详见采购需求</w:t>
            </w:r>
          </w:p>
          <w:p w14:paraId="7FB755D1">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三、产品结构</w:t>
            </w:r>
          </w:p>
          <w:p w14:paraId="0035F29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为双柱式结构。每层由两块或一整块板件组成，挂板双扣结构，层间距可据需任意调整，主要由轨道、底盘、立柱、搁板、挂板、侧板、顶板、门板、传动装置、防倾倒件、缓冲密封装置组成。</w:t>
            </w:r>
          </w:p>
          <w:p w14:paraId="76170152">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四、产品部件制作要求</w:t>
            </w:r>
          </w:p>
          <w:p w14:paraId="081CC800">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轨道：采用优质热轧钢板一次折弯成型，路轨顶端设有限位装置，防止底架脱轨。轨道用膨胀螺丝固定在地面上。按规定铺设轨道，单根导轨直线度偏差不大于1.0mm/m，轨道之间任何位置的水平偏差不大于1mm/m。轨芯采用实心方钢，轨道板底部设有焊接圆孔与轨芯隐藏式焊接。表面镀锌处理。</w:t>
            </w:r>
          </w:p>
          <w:p w14:paraId="0CAE0BAB">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底盘：采用优质热轧钢板折弯成型，高度≥120mm，并采用双折弯工艺加强，底盘上平面弯边≥50mm，架体长期载重存放资料不易变形，底盘与立柱连接采用φ≥10×20（mm）螺栓，底盘装配后的直线偏差≤0.5mm/m，全长偏差≤3mm。底盘连接采用嵌入式分段组装，底盘连接件螺丝孔采用方孔设计，紧固件（螺杆）底部为方颈设计，与连接件形成嵌入式紧固结构，实现三点紧固和三点承重受力。提高底盘的承载能力。轴承横梁采用优质热轧钢板一次成型制作，尺寸≥W55*H45mm，在轴承装配的平面压印深≥1.4mm，宽≥40mm凹槽，增强轴承梁的承载力，为轴承装配质量提供更好保障。</w:t>
            </w:r>
          </w:p>
          <w:p w14:paraId="136191AA">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3、立柱：</w:t>
            </w:r>
          </w:p>
          <w:p w14:paraId="12A871D3">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采用优质冷轧钢板一次性成型制作七道弯边工艺，立柱正面≥50mm，侧面≥38mm。正面压印凹槽，凹槽成型尺寸≥20mm，深度≥2mm。侧面压印凹槽，凹槽成型尺寸≥18mm，深度≥1.2mm。凹槽底面为平面，增强立柱承重能力。</w:t>
            </w:r>
          </w:p>
          <w:p w14:paraId="01E6C2B9">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color w:val="auto"/>
                <w:kern w:val="0"/>
                <w:sz w:val="21"/>
                <w:szCs w:val="21"/>
                <w:highlight w:val="none"/>
                <w:lang w:val="en-US" w:eastAsia="zh-CN"/>
              </w:rPr>
              <w:t>3.2、立柱部件各项技术指标依据</w:t>
            </w:r>
            <w:r>
              <w:rPr>
                <w:rFonts w:hint="eastAsia" w:ascii="宋体" w:hAnsi="宋体" w:eastAsia="宋体" w:cs="宋体"/>
                <w:b w:val="0"/>
                <w:bCs w:val="0"/>
                <w:color w:val="auto"/>
                <w:sz w:val="21"/>
                <w:szCs w:val="21"/>
                <w:highlight w:val="none"/>
                <w:lang w:val="en-US" w:eastAsia="zh-CN"/>
              </w:rPr>
              <w:t>（包括但不限于）GB/T 4336-2016、GB/T 700-2006、GB/T 230.1-2018、 GB/T 3325-2024、 GB/T 35607-2024、GB/T 19746-2018</w:t>
            </w:r>
            <w:r>
              <w:rPr>
                <w:rFonts w:hint="eastAsia" w:ascii="宋体" w:hAnsi="宋体" w:eastAsia="宋体" w:cs="宋体"/>
                <w:color w:val="auto"/>
                <w:kern w:val="0"/>
                <w:sz w:val="21"/>
                <w:szCs w:val="21"/>
                <w:highlight w:val="none"/>
                <w:lang w:val="en-US" w:eastAsia="zh-CN"/>
              </w:rPr>
              <w:t>标准要求。检测内容包</w:t>
            </w:r>
            <w:r>
              <w:rPr>
                <w:rFonts w:hint="eastAsia" w:ascii="宋体" w:hAnsi="宋体" w:eastAsia="宋体" w:cs="宋体"/>
                <w:color w:val="auto"/>
                <w:sz w:val="21"/>
                <w:szCs w:val="21"/>
                <w:highlight w:val="none"/>
                <w:lang w:val="en-US" w:eastAsia="zh-CN"/>
              </w:rPr>
              <w:t>含但不限于：化</w:t>
            </w:r>
            <w:r>
              <w:rPr>
                <w:rFonts w:hint="eastAsia" w:ascii="宋体" w:hAnsi="宋体" w:eastAsia="宋体" w:cs="宋体"/>
                <w:color w:val="auto"/>
                <w:kern w:val="0"/>
                <w:sz w:val="21"/>
                <w:szCs w:val="21"/>
                <w:highlight w:val="none"/>
                <w:lang w:val="en-US" w:eastAsia="zh-CN"/>
              </w:rPr>
              <w:t>学成分：C≤0.19%、Si≤0.12%、Mn≤0.34%、P≤0.028%、S≤0.011%、Cr≤0.12%、Ni≤0.08%、Ti≤0.04%、Cu≤0.01%；力学性能：屈服强度≥290N/mm²、抗拉强度≥480N/mm²、断后伸长率≥39%；金属喷漆（塑）涂</w:t>
            </w:r>
            <w:r>
              <w:rPr>
                <w:rFonts w:hint="eastAsia" w:ascii="宋体" w:hAnsi="宋体" w:eastAsia="宋体" w:cs="宋体"/>
                <w:color w:val="auto"/>
                <w:sz w:val="21"/>
                <w:szCs w:val="21"/>
                <w:highlight w:val="none"/>
                <w:lang w:val="en-US" w:eastAsia="zh-CN"/>
              </w:rPr>
              <w:t>层理化性</w:t>
            </w:r>
            <w:r>
              <w:rPr>
                <w:rFonts w:hint="eastAsia" w:ascii="宋体" w:hAnsi="宋体" w:eastAsia="宋体" w:cs="宋体"/>
                <w:color w:val="auto"/>
                <w:kern w:val="0"/>
                <w:sz w:val="21"/>
                <w:szCs w:val="21"/>
                <w:highlight w:val="none"/>
                <w:lang w:val="en-US" w:eastAsia="zh-CN"/>
              </w:rPr>
              <w:t>能要求：铅笔硬度H,应无塑性变形和/或内聚破坏，冲击高度1000mm，试件表面无剥落、裂纹、皱纹，附着力0级，耐盐浴：划道两侧3mm外,应无鼓泡、锈蚀、剥落和起皱等现象；家具涂层可迁移元素：铅 Pb、镉 Cd、铬 Cr、汞 Hg、锑 Sb、钡 Ba、硒 Se、砷 As检验检测结果均为未检出；盐溶液周浸试验400h：质量损失率≤7.5g/m²。提供具备CMA、CNAS标志的第三方质量监督检验机构出具的立柱抽样检验报告加盖生产厂家公章（注：抽样基数≥2000件），报告带二维码查询，附检测机构在中国合格评定国家认可委员会网站认可的检测能力范围查询截图，或提供检测标准需包含在检测机构许可范围内的检测资质证书及附件。</w:t>
            </w:r>
          </w:p>
          <w:p w14:paraId="55056DA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4、托板（搁板）：</w:t>
            </w:r>
          </w:p>
          <w:p w14:paraId="0E71F9A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4.1、采用优质冷轧钢板，每层搁板采用双面组合结构，并采用七道弯边工艺，搁板表面压印两条对称凹槽筋，压印深度≥2mm，折弯高度≧25mm，增加承载能力。</w:t>
            </w:r>
          </w:p>
          <w:p w14:paraId="718B1799">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color w:val="auto"/>
                <w:kern w:val="0"/>
                <w:sz w:val="21"/>
                <w:szCs w:val="21"/>
                <w:highlight w:val="none"/>
                <w:lang w:val="en-US" w:eastAsia="zh-CN"/>
              </w:rPr>
              <w:t>4.2、托板（搁板）部件各项技术指标依据</w:t>
            </w:r>
            <w:r>
              <w:rPr>
                <w:rFonts w:hint="eastAsia" w:ascii="宋体" w:hAnsi="宋体" w:eastAsia="宋体" w:cs="宋体"/>
                <w:b w:val="0"/>
                <w:bCs w:val="0"/>
                <w:color w:val="auto"/>
                <w:sz w:val="21"/>
                <w:szCs w:val="21"/>
                <w:highlight w:val="none"/>
                <w:lang w:val="en-US" w:eastAsia="zh-CN"/>
              </w:rPr>
              <w:t>（包括但不限于）GB/T 4336-2016、GB/T 700-2006、GB/T 230.1-2018、 GB/T 3325-2024、 GB/T 35607-2024、GB/T 19746-2018</w:t>
            </w:r>
            <w:r>
              <w:rPr>
                <w:rFonts w:hint="eastAsia" w:ascii="宋体" w:hAnsi="宋体" w:eastAsia="宋体" w:cs="宋体"/>
                <w:color w:val="auto"/>
                <w:kern w:val="0"/>
                <w:sz w:val="21"/>
                <w:szCs w:val="21"/>
                <w:highlight w:val="none"/>
                <w:lang w:val="en-US" w:eastAsia="zh-CN"/>
              </w:rPr>
              <w:t>标准要求。检测内容包含但不限于：</w:t>
            </w:r>
            <w:r>
              <w:rPr>
                <w:rFonts w:hint="eastAsia" w:ascii="宋体" w:hAnsi="宋体" w:eastAsia="宋体" w:cs="宋体"/>
                <w:color w:val="auto"/>
                <w:sz w:val="21"/>
                <w:szCs w:val="21"/>
                <w:highlight w:val="none"/>
                <w:lang w:val="en-US" w:eastAsia="zh-CN"/>
              </w:rPr>
              <w:t>化</w:t>
            </w:r>
            <w:r>
              <w:rPr>
                <w:rFonts w:hint="eastAsia" w:ascii="宋体" w:hAnsi="宋体" w:eastAsia="宋体" w:cs="宋体"/>
                <w:color w:val="auto"/>
                <w:kern w:val="0"/>
                <w:sz w:val="21"/>
                <w:szCs w:val="21"/>
                <w:highlight w:val="none"/>
                <w:lang w:val="en-US" w:eastAsia="zh-CN"/>
              </w:rPr>
              <w:t>学成分：C≤0.19%、Si≤0.12%、Mn≤0.34%、P≤0.028%、S≤0.011%、Cr≤0.12%、Ni≤0.08%、Ti≤0.04%、Cu≤0.01%；力学性能：屈服强度≥290N/mm²、抗拉强度≥480N/mm²、断后伸长率≥39%；金属喷漆（塑）涂</w:t>
            </w:r>
            <w:r>
              <w:rPr>
                <w:rFonts w:hint="eastAsia" w:ascii="宋体" w:hAnsi="宋体" w:eastAsia="宋体" w:cs="宋体"/>
                <w:color w:val="auto"/>
                <w:sz w:val="21"/>
                <w:szCs w:val="21"/>
                <w:highlight w:val="none"/>
                <w:lang w:val="en-US" w:eastAsia="zh-CN"/>
              </w:rPr>
              <w:t>层理化性</w:t>
            </w:r>
            <w:r>
              <w:rPr>
                <w:rFonts w:hint="eastAsia" w:ascii="宋体" w:hAnsi="宋体" w:eastAsia="宋体" w:cs="宋体"/>
                <w:color w:val="auto"/>
                <w:kern w:val="0"/>
                <w:sz w:val="21"/>
                <w:szCs w:val="21"/>
                <w:highlight w:val="none"/>
                <w:lang w:val="en-US" w:eastAsia="zh-CN"/>
              </w:rPr>
              <w:t>能要求：铅笔硬度H,应无塑性变形和/或内聚破坏，冲击高度1000mm，试件表面无剥落、裂纹、皱纹，附着力0级，耐盐浴：划道两侧3mm外,应无鼓泡、锈蚀、剥落和起皱等现象；家具涂层可迁移元素：铅 Pb、镉 Cd、铬 Cr、汞 Hg、锑 Sb、钡 Ba、硒 Se、砷 As检验检测结果均为未检出；盐溶液周浸试验400h：质量损失率≤7.5g/m²。提供具备CMA、CNAS标志的第三方质量监督检验机构出具的托板（搁板）抽样检验报告加盖生产厂家公章（注：抽样基数≥2000件），报告带二维码查询，附检测机构在中国合格评定国家认可委员会网站认可的检测能力范围查询截图，或提供检测标准需包含在检测机构许可范围内的检测资质证书及附件。</w:t>
            </w:r>
          </w:p>
          <w:p w14:paraId="1412FD07">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5、挂板：</w:t>
            </w:r>
          </w:p>
          <w:p w14:paraId="52B04BC0">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5.1、采用优质冷轧钢板，挂板与立柱之间的连接方式采用双扣勾挂板，挂板与搁板之间也采用双扣勾，挂板与立柱连接的扣勾和挂板与搁板连接的扣勾平行度相差&lt;1mm。</w:t>
            </w:r>
          </w:p>
          <w:p w14:paraId="455BDC4B">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color w:val="auto"/>
                <w:kern w:val="0"/>
                <w:sz w:val="21"/>
                <w:szCs w:val="21"/>
                <w:highlight w:val="none"/>
                <w:lang w:val="en-US" w:eastAsia="zh-CN"/>
              </w:rPr>
              <w:t>5.2、挂板部件各项技术指标依据</w:t>
            </w:r>
            <w:r>
              <w:rPr>
                <w:rFonts w:hint="eastAsia" w:ascii="宋体" w:hAnsi="宋体" w:eastAsia="宋体" w:cs="宋体"/>
                <w:b w:val="0"/>
                <w:bCs w:val="0"/>
                <w:color w:val="auto"/>
                <w:sz w:val="21"/>
                <w:szCs w:val="21"/>
                <w:highlight w:val="none"/>
                <w:lang w:val="en-US" w:eastAsia="zh-CN"/>
              </w:rPr>
              <w:t>（包括但不限于）GB/T 4336-2016、GB/T 700-2006、GB/T 230.1-2018、 GB/T 3325-2024、 GB/T 35607-2024、GB/T 19746-2018</w:t>
            </w:r>
            <w:r>
              <w:rPr>
                <w:rFonts w:hint="eastAsia" w:ascii="宋体" w:hAnsi="宋体" w:eastAsia="宋体" w:cs="宋体"/>
                <w:color w:val="auto"/>
                <w:kern w:val="0"/>
                <w:sz w:val="21"/>
                <w:szCs w:val="21"/>
                <w:highlight w:val="none"/>
                <w:lang w:val="en-US" w:eastAsia="zh-CN"/>
              </w:rPr>
              <w:t>标准要求。检测内容包含但不限于：</w:t>
            </w:r>
            <w:r>
              <w:rPr>
                <w:rFonts w:hint="eastAsia" w:ascii="宋体" w:hAnsi="宋体" w:eastAsia="宋体" w:cs="宋体"/>
                <w:color w:val="auto"/>
                <w:sz w:val="21"/>
                <w:szCs w:val="21"/>
                <w:highlight w:val="none"/>
                <w:lang w:val="en-US" w:eastAsia="zh-CN"/>
              </w:rPr>
              <w:t>化</w:t>
            </w:r>
            <w:r>
              <w:rPr>
                <w:rFonts w:hint="eastAsia" w:ascii="宋体" w:hAnsi="宋体" w:eastAsia="宋体" w:cs="宋体"/>
                <w:color w:val="auto"/>
                <w:kern w:val="0"/>
                <w:sz w:val="21"/>
                <w:szCs w:val="21"/>
                <w:highlight w:val="none"/>
                <w:lang w:val="en-US" w:eastAsia="zh-CN"/>
              </w:rPr>
              <w:t>学成分：C≤0.19%、Si≤0.12%、Mn≤0.34%、P≤0.028%、S≤0.011%、Cr≤0.12%、Ni≤0.08%、Ti≤0.04%、Cu≤0.01%；力学性能：屈服强度≥290N/mm²、抗拉强度≥480N/mm²、断后伸长率≥39%；金属喷漆（塑）涂</w:t>
            </w:r>
            <w:r>
              <w:rPr>
                <w:rFonts w:hint="eastAsia" w:ascii="宋体" w:hAnsi="宋体" w:eastAsia="宋体" w:cs="宋体"/>
                <w:color w:val="auto"/>
                <w:sz w:val="21"/>
                <w:szCs w:val="21"/>
                <w:highlight w:val="none"/>
                <w:lang w:val="en-US" w:eastAsia="zh-CN"/>
              </w:rPr>
              <w:t>层理化性</w:t>
            </w:r>
            <w:r>
              <w:rPr>
                <w:rFonts w:hint="eastAsia" w:ascii="宋体" w:hAnsi="宋体" w:eastAsia="宋体" w:cs="宋体"/>
                <w:color w:val="auto"/>
                <w:kern w:val="0"/>
                <w:sz w:val="21"/>
                <w:szCs w:val="21"/>
                <w:highlight w:val="none"/>
                <w:lang w:val="en-US" w:eastAsia="zh-CN"/>
              </w:rPr>
              <w:t>能要求：铅笔硬度H,应无塑性变形和/或内聚破坏，冲击高度1000mm，试件表面无剥落、裂纹、皱纹，附着力0级，耐盐浴：划道两侧3mm外,应无鼓泡、锈蚀、剥落和起皱等现象；家具涂层可迁移元素：铅 Pb、镉 Cd、铬 Cr、汞 Hg、锑 Sb、钡 Ba、硒 Se、砷 As检验检测结果均为未检出；盐溶液周浸试验400h：质量损失率≤7.5g/m²。提供具备CMA、CNAS标志的第三方质量监督检验机构出具的挂板抽样检验报告加盖生产厂家公章（注：抽样基数≥2000件），报告带二维码查询，附检测机构在中国合格评定国家认可委员会网站认可的检测能力范围查询截图，或提供检测标准需包含在检测机构许可范围内的检测资质证书及附件。</w:t>
            </w:r>
          </w:p>
          <w:p w14:paraId="5884F103">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6、档棒：采用优质冷轧钢板一次成型五道弯边制作工艺，成型尺寸≥13*13mm。正面压印凹槽成型尺寸≥6mm，深度≥0.5mm，侧面压印成型尺寸≥1.0mm，深度≥0.5mm。</w:t>
            </w:r>
          </w:p>
          <w:p w14:paraId="785BE256">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7、侧板：采用优质冷轧钢板，为上、中、下三节式。</w:t>
            </w:r>
          </w:p>
          <w:p w14:paraId="1BB08583">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8、门板：</w:t>
            </w:r>
          </w:p>
          <w:p w14:paraId="5A17E180">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8.1、</w:t>
            </w:r>
            <w:r>
              <w:rPr>
                <w:rFonts w:hint="eastAsia" w:ascii="宋体" w:hAnsi="宋体" w:eastAsia="宋体" w:cs="宋体"/>
                <w:color w:val="auto"/>
                <w:sz w:val="21"/>
                <w:szCs w:val="21"/>
                <w:highlight w:val="none"/>
                <w:lang w:eastAsia="zh-CN"/>
              </w:rPr>
              <w:t>采用优质冷轧钢板，门平面采用整体压印凸出工艺，凸出四角为圆弧，凸出四边为直线线条。与门凸出落差≥0.5mm。门栓φ≥8mm，门栓门孔采用塑料栓套和孔套起到消声防护作用。</w:t>
            </w:r>
          </w:p>
          <w:p w14:paraId="03B11DAB">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b w:val="0"/>
                <w:bCs w:val="0"/>
                <w:color w:val="auto"/>
                <w:sz w:val="21"/>
                <w:szCs w:val="21"/>
                <w:highlight w:val="none"/>
                <w:lang w:val="en-US" w:eastAsia="zh-CN"/>
              </w:rPr>
              <w:t>8.2、门板部件各项技术指标依据（包括但不限于）GB/T 4336-2016、GB/T 700-2006、GB/T 230.1-2018、 GB/T 3325-2024、 GB/T 35607-2024、GB/T 19746-2018标准要求。检测内容包含但不限于：</w:t>
            </w:r>
            <w:r>
              <w:rPr>
                <w:rFonts w:hint="eastAsia" w:ascii="宋体" w:hAnsi="宋体" w:eastAsia="宋体" w:cs="宋体"/>
                <w:color w:val="auto"/>
                <w:sz w:val="21"/>
                <w:szCs w:val="21"/>
                <w:highlight w:val="none"/>
                <w:lang w:val="en-US" w:eastAsia="zh-CN"/>
              </w:rPr>
              <w:t>化</w:t>
            </w:r>
            <w:r>
              <w:rPr>
                <w:rFonts w:hint="eastAsia" w:ascii="宋体" w:hAnsi="宋体" w:eastAsia="宋体" w:cs="宋体"/>
                <w:color w:val="auto"/>
                <w:kern w:val="0"/>
                <w:sz w:val="21"/>
                <w:szCs w:val="21"/>
                <w:highlight w:val="none"/>
                <w:lang w:val="en-US" w:eastAsia="zh-CN"/>
              </w:rPr>
              <w:t>学成分：C≤0.19%、Si≤0.12%、Mn≤0.34%、P≤0.028%、S≤0.011%、Cr≤0.12%、Ni≤0.08%、Ti≤0.04%、Cu≤0.01%；力学性能：屈服强度≥290N/mm²、抗拉强度≥480N/mm²、断后伸长率≥39%；金属喷漆（塑）涂</w:t>
            </w:r>
            <w:r>
              <w:rPr>
                <w:rFonts w:hint="eastAsia" w:ascii="宋体" w:hAnsi="宋体" w:eastAsia="宋体" w:cs="宋体"/>
                <w:color w:val="auto"/>
                <w:sz w:val="21"/>
                <w:szCs w:val="21"/>
                <w:highlight w:val="none"/>
                <w:lang w:val="en-US" w:eastAsia="zh-CN"/>
              </w:rPr>
              <w:t>层理化性</w:t>
            </w:r>
            <w:r>
              <w:rPr>
                <w:rFonts w:hint="eastAsia" w:ascii="宋体" w:hAnsi="宋体" w:eastAsia="宋体" w:cs="宋体"/>
                <w:color w:val="auto"/>
                <w:kern w:val="0"/>
                <w:sz w:val="21"/>
                <w:szCs w:val="21"/>
                <w:highlight w:val="none"/>
                <w:lang w:val="en-US" w:eastAsia="zh-CN"/>
              </w:rPr>
              <w:t>能要求：铅笔硬度H,应无塑性变形和/或内聚破坏，冲击高度1000mm，试件表面无剥落、裂纹、皱纹，附着力0级，耐盐浴：划道两侧3mm外,应无鼓泡、锈蚀、剥落和起皱等现象；家具涂层可迁移元素：铅 Pb、镉 Cd、铬 Cr、汞 Hg、锑 Sb、钡 Ba、硒 Se、砷 As检验检测结果均为未检出；盐溶液周浸试验400h：质量损失率≤7.5g/m²。</w:t>
            </w:r>
            <w:r>
              <w:rPr>
                <w:rFonts w:hint="eastAsia" w:ascii="宋体" w:hAnsi="宋体" w:eastAsia="宋体" w:cs="宋体"/>
                <w:b w:val="0"/>
                <w:bCs w:val="0"/>
                <w:color w:val="auto"/>
                <w:sz w:val="21"/>
                <w:szCs w:val="21"/>
                <w:highlight w:val="none"/>
                <w:lang w:val="en-US" w:eastAsia="zh-CN"/>
              </w:rPr>
              <w:t>提供具备CMA、CNAS标志的第三方质量监督检验机构出具的门板抽样检验报告加盖生产厂家公章（注：抽样基数≥2000件），报告带二维码查询</w:t>
            </w:r>
            <w:r>
              <w:rPr>
                <w:rFonts w:hint="eastAsia" w:ascii="宋体" w:hAnsi="宋体" w:eastAsia="宋体" w:cs="宋体"/>
                <w:color w:val="auto"/>
                <w:kern w:val="0"/>
                <w:sz w:val="21"/>
                <w:szCs w:val="21"/>
                <w:highlight w:val="none"/>
                <w:lang w:val="en-US" w:eastAsia="zh-CN"/>
              </w:rPr>
              <w:t>，附检测机构在中国合格评定国家认可委员会网站认可的检测能力范围查询截图，或提供检测标准需包含在检测机构许可范围内的检测资质证书及附件</w:t>
            </w:r>
            <w:r>
              <w:rPr>
                <w:rFonts w:hint="eastAsia" w:ascii="宋体" w:hAnsi="宋体" w:eastAsia="宋体" w:cs="宋体"/>
                <w:b w:val="0"/>
                <w:bCs w:val="0"/>
                <w:color w:val="auto"/>
                <w:sz w:val="21"/>
                <w:szCs w:val="21"/>
                <w:highlight w:val="none"/>
                <w:lang w:val="en-US" w:eastAsia="zh-CN"/>
              </w:rPr>
              <w:t>。</w:t>
            </w:r>
          </w:p>
          <w:p w14:paraId="7F72CFE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9、顶板：采用优质冷轧钢板。两头采用重叠回折压死边工艺，回折≥27mm，再折两道边≥28*10mm，整板成型无需拼装焊接。顶板与立柱上端搭接截面1/2，形成嵌入连接组装结构。</w:t>
            </w:r>
          </w:p>
          <w:p w14:paraId="11F071A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10、防尘板、防鼠板：采用优质冷轧钢板。</w:t>
            </w:r>
          </w:p>
          <w:p w14:paraId="33DD99C1">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摇手装置：采用常用摇手装置即可，如：三叉式、圆盘式、7字型等。造型美观大方、摇把可隐藏、手感舒适，其结构为棘轮自动挂、脱挡，停用后摇把可自行停于垂直位置，可避免通道障碍，摇动任意一列不会带动其他把手。传动速比1:7:5，荷载能力，每标准节＞600kg。</w:t>
            </w:r>
          </w:p>
          <w:p w14:paraId="2DA5FA56">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传动系统：双向超越离合器结构，采用三分力、三变速、中间驱动为主传动，两边为从动驱动方式。链轮为机械精加工而成，经锻压加工成型，回火去除应力，加工、滚点、插键槽、去毛齿、齿部经高频淬火HRC60-62。链条采用摩托车链条Φ8.5，节距12.7。链条破断力≥1800kg。滚轮采用铸铁制造；中轴和短轴采用Φ20mm45#实心圆钢；底盘轴承安装采用P204E级双排向心球高级轴承，精密度高，方向灵活，材料质量好，耐压与耐磨性能好，具有可靠的中心直线度，使架体滑动平衡、轻灵定位可靠，传动轻便灵活，摇手轻，运行平稳，性能达到和超过国家标准，即可单列移动也可多列同时移动。</w:t>
            </w:r>
          </w:p>
          <w:p w14:paraId="30E17D3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五、防倾倒装置</w:t>
            </w:r>
          </w:p>
          <w:p w14:paraId="2C482A16">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采用燕尾式防倾倒装置，应整件无焊接组成。当受到倾覆时双向、双点受力，确保设备不倾倒。</w:t>
            </w:r>
          </w:p>
          <w:p w14:paraId="78A8A4F7">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六、产品部件用材要求</w:t>
            </w:r>
          </w:p>
          <w:tbl>
            <w:tblPr>
              <w:tblStyle w:val="15"/>
              <w:tblW w:w="49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479"/>
              <w:gridCol w:w="851"/>
              <w:gridCol w:w="1372"/>
              <w:gridCol w:w="1025"/>
              <w:gridCol w:w="1581"/>
              <w:gridCol w:w="1512"/>
            </w:tblGrid>
            <w:tr w14:paraId="59FF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7" w:hRule="atLeast"/>
                <w:tblHeader/>
                <w:jc w:val="center"/>
              </w:trPr>
              <w:tc>
                <w:tcPr>
                  <w:tcW w:w="293" w:type="pct"/>
                  <w:noWrap w:val="0"/>
                  <w:vAlign w:val="center"/>
                </w:tcPr>
                <w:p w14:paraId="2499B49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31" w:type="pct"/>
                  <w:noWrap w:val="0"/>
                  <w:vAlign w:val="center"/>
                </w:tcPr>
                <w:p w14:paraId="7A0F7B5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w:t>
                  </w:r>
                </w:p>
                <w:p w14:paraId="04C021B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587" w:type="pct"/>
                  <w:noWrap w:val="0"/>
                  <w:vAlign w:val="center"/>
                </w:tcPr>
                <w:p w14:paraId="31D140E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设备配置</w:t>
                  </w:r>
                </w:p>
              </w:tc>
              <w:tc>
                <w:tcPr>
                  <w:tcW w:w="946" w:type="pct"/>
                  <w:noWrap w:val="0"/>
                  <w:vAlign w:val="center"/>
                </w:tcPr>
                <w:p w14:paraId="0524C6D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材料规格</w:t>
                  </w:r>
                </w:p>
              </w:tc>
              <w:tc>
                <w:tcPr>
                  <w:tcW w:w="707" w:type="pct"/>
                  <w:noWrap w:val="0"/>
                  <w:vAlign w:val="center"/>
                </w:tcPr>
                <w:p w14:paraId="500834E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材质</w:t>
                  </w:r>
                </w:p>
              </w:tc>
              <w:tc>
                <w:tcPr>
                  <w:tcW w:w="1090" w:type="pct"/>
                  <w:noWrap w:val="0"/>
                  <w:vAlign w:val="center"/>
                </w:tcPr>
                <w:p w14:paraId="0C8681D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采用标准</w:t>
                  </w:r>
                </w:p>
              </w:tc>
              <w:tc>
                <w:tcPr>
                  <w:tcW w:w="1043" w:type="pct"/>
                  <w:noWrap w:val="0"/>
                  <w:vAlign w:val="center"/>
                </w:tcPr>
                <w:p w14:paraId="65BE360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性能说明</w:t>
                  </w:r>
                </w:p>
              </w:tc>
            </w:tr>
            <w:tr w14:paraId="11CF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293" w:type="pct"/>
                  <w:vMerge w:val="restart"/>
                  <w:noWrap w:val="0"/>
                  <w:vAlign w:val="center"/>
                </w:tcPr>
                <w:p w14:paraId="4660D87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1</w:t>
                  </w:r>
                </w:p>
              </w:tc>
              <w:tc>
                <w:tcPr>
                  <w:tcW w:w="331" w:type="pct"/>
                  <w:vMerge w:val="restart"/>
                  <w:noWrap w:val="0"/>
                  <w:vAlign w:val="center"/>
                </w:tcPr>
                <w:p w14:paraId="6CEDCC5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rPr>
                    <w:t>轨道</w:t>
                  </w:r>
                </w:p>
              </w:tc>
              <w:tc>
                <w:tcPr>
                  <w:tcW w:w="587" w:type="pct"/>
                  <w:noWrap w:val="0"/>
                  <w:vAlign w:val="center"/>
                </w:tcPr>
                <w:p w14:paraId="6FEF8BC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轨道座</w:t>
                  </w:r>
                </w:p>
              </w:tc>
              <w:tc>
                <w:tcPr>
                  <w:tcW w:w="946" w:type="pct"/>
                  <w:noWrap w:val="0"/>
                  <w:vAlign w:val="center"/>
                </w:tcPr>
                <w:p w14:paraId="2BE784C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δ≥3.0mm</w:t>
                  </w:r>
                </w:p>
              </w:tc>
              <w:tc>
                <w:tcPr>
                  <w:tcW w:w="707" w:type="pct"/>
                  <w:noWrap w:val="0"/>
                  <w:vAlign w:val="center"/>
                </w:tcPr>
                <w:p w14:paraId="25F2545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热轧钢板</w:t>
                  </w:r>
                </w:p>
              </w:tc>
              <w:tc>
                <w:tcPr>
                  <w:tcW w:w="1090" w:type="pct"/>
                  <w:noWrap w:val="0"/>
                  <w:vAlign w:val="center"/>
                </w:tcPr>
                <w:p w14:paraId="7936256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GB/T 711-2017</w:t>
                  </w:r>
                </w:p>
              </w:tc>
              <w:tc>
                <w:tcPr>
                  <w:tcW w:w="1043" w:type="pct"/>
                  <w:vMerge w:val="restart"/>
                  <w:noWrap w:val="0"/>
                  <w:vAlign w:val="center"/>
                </w:tcPr>
                <w:p w14:paraId="3CF8655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lang w:eastAsia="zh-CN" w:bidi="zh-CN"/>
                    </w:rPr>
                  </w:pPr>
                  <w:r>
                    <w:rPr>
                      <w:rFonts w:hint="eastAsia" w:ascii="宋体" w:hAnsi="宋体" w:eastAsia="宋体" w:cs="宋体"/>
                      <w:color w:val="auto"/>
                      <w:sz w:val="21"/>
                      <w:szCs w:val="21"/>
                      <w:highlight w:val="none"/>
                      <w:lang w:eastAsia="zh-CN"/>
                    </w:rPr>
                    <w:t>要求轨道螺栓头上端面与轨道座凹槽内底面齐平。</w:t>
                  </w:r>
                </w:p>
              </w:tc>
            </w:tr>
            <w:tr w14:paraId="5B20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293" w:type="pct"/>
                  <w:vMerge w:val="continue"/>
                  <w:noWrap w:val="0"/>
                  <w:vAlign w:val="center"/>
                </w:tcPr>
                <w:p w14:paraId="2BB522E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331" w:type="pct"/>
                  <w:vMerge w:val="continue"/>
                  <w:noWrap w:val="0"/>
                  <w:vAlign w:val="center"/>
                </w:tcPr>
                <w:p w14:paraId="4F252B2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587" w:type="pct"/>
                  <w:noWrap w:val="0"/>
                  <w:vAlign w:val="center"/>
                </w:tcPr>
                <w:p w14:paraId="41FE5D1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轨芯</w:t>
                  </w:r>
                </w:p>
              </w:tc>
              <w:tc>
                <w:tcPr>
                  <w:tcW w:w="946" w:type="pct"/>
                  <w:noWrap w:val="0"/>
                  <w:vAlign w:val="center"/>
                </w:tcPr>
                <w:p w14:paraId="65EB2C6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δ≥20mm*20mm</w:t>
                  </w:r>
                </w:p>
              </w:tc>
              <w:tc>
                <w:tcPr>
                  <w:tcW w:w="707" w:type="pct"/>
                  <w:noWrap w:val="0"/>
                  <w:vAlign w:val="center"/>
                </w:tcPr>
                <w:p w14:paraId="180E541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实心方钢</w:t>
                  </w:r>
                </w:p>
              </w:tc>
              <w:tc>
                <w:tcPr>
                  <w:tcW w:w="1090" w:type="pct"/>
                  <w:noWrap w:val="0"/>
                  <w:vAlign w:val="center"/>
                </w:tcPr>
                <w:p w14:paraId="762F482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GB/T3325 2017</w:t>
                  </w:r>
                </w:p>
              </w:tc>
              <w:tc>
                <w:tcPr>
                  <w:tcW w:w="1043" w:type="pct"/>
                  <w:vMerge w:val="continue"/>
                  <w:noWrap w:val="0"/>
                  <w:vAlign w:val="center"/>
                </w:tcPr>
                <w:p w14:paraId="7AA254A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lang w:bidi="zh-CN"/>
                    </w:rPr>
                  </w:pPr>
                </w:p>
              </w:tc>
            </w:tr>
            <w:tr w14:paraId="5972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293" w:type="pct"/>
                  <w:vMerge w:val="restart"/>
                  <w:noWrap w:val="0"/>
                  <w:vAlign w:val="center"/>
                </w:tcPr>
                <w:p w14:paraId="4A37AFF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331" w:type="pct"/>
                  <w:vMerge w:val="restart"/>
                  <w:noWrap w:val="0"/>
                  <w:vAlign w:val="center"/>
                </w:tcPr>
                <w:p w14:paraId="2EC1291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底盘</w:t>
                  </w:r>
                </w:p>
              </w:tc>
              <w:tc>
                <w:tcPr>
                  <w:tcW w:w="587" w:type="pct"/>
                  <w:noWrap w:val="0"/>
                  <w:vAlign w:val="center"/>
                </w:tcPr>
                <w:p w14:paraId="1D678D7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底盘</w:t>
                  </w:r>
                </w:p>
              </w:tc>
              <w:tc>
                <w:tcPr>
                  <w:tcW w:w="946" w:type="pct"/>
                  <w:noWrap w:val="0"/>
                  <w:vAlign w:val="center"/>
                </w:tcPr>
                <w:p w14:paraId="38D642E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δ≥3.0mm</w:t>
                  </w:r>
                </w:p>
              </w:tc>
              <w:tc>
                <w:tcPr>
                  <w:tcW w:w="707" w:type="pct"/>
                  <w:noWrap w:val="0"/>
                  <w:vAlign w:val="center"/>
                </w:tcPr>
                <w:p w14:paraId="1B11BE9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热轧钢板</w:t>
                  </w:r>
                </w:p>
              </w:tc>
              <w:tc>
                <w:tcPr>
                  <w:tcW w:w="1090" w:type="pct"/>
                  <w:noWrap w:val="0"/>
                  <w:vAlign w:val="center"/>
                </w:tcPr>
                <w:p w14:paraId="448D4C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711-2017</w:t>
                  </w:r>
                </w:p>
              </w:tc>
              <w:tc>
                <w:tcPr>
                  <w:tcW w:w="1043" w:type="pct"/>
                  <w:vMerge w:val="restart"/>
                  <w:noWrap w:val="0"/>
                  <w:vAlign w:val="center"/>
                </w:tcPr>
                <w:p w14:paraId="6DCB7ED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底盘采用整体焊接，钢性足，不变形。</w:t>
                  </w:r>
                </w:p>
              </w:tc>
            </w:tr>
            <w:tr w14:paraId="52B46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293" w:type="pct"/>
                  <w:vMerge w:val="continue"/>
                  <w:noWrap w:val="0"/>
                  <w:vAlign w:val="center"/>
                </w:tcPr>
                <w:p w14:paraId="55888A8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331" w:type="pct"/>
                  <w:vMerge w:val="continue"/>
                  <w:noWrap w:val="0"/>
                  <w:vAlign w:val="center"/>
                </w:tcPr>
                <w:p w14:paraId="7CAB98D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587" w:type="pct"/>
                  <w:noWrap w:val="0"/>
                  <w:vAlign w:val="center"/>
                </w:tcPr>
                <w:p w14:paraId="74E3FC8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轴承横梁</w:t>
                  </w:r>
                </w:p>
              </w:tc>
              <w:tc>
                <w:tcPr>
                  <w:tcW w:w="946" w:type="pct"/>
                  <w:noWrap w:val="0"/>
                  <w:vAlign w:val="center"/>
                </w:tcPr>
                <w:p w14:paraId="0685CF2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δ≥2.3mm</w:t>
                  </w:r>
                </w:p>
              </w:tc>
              <w:tc>
                <w:tcPr>
                  <w:tcW w:w="707" w:type="pct"/>
                  <w:noWrap w:val="0"/>
                  <w:vAlign w:val="center"/>
                </w:tcPr>
                <w:p w14:paraId="2C18C62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热轧钢板</w:t>
                  </w:r>
                </w:p>
              </w:tc>
              <w:tc>
                <w:tcPr>
                  <w:tcW w:w="1090" w:type="pct"/>
                  <w:noWrap w:val="0"/>
                  <w:vAlign w:val="center"/>
                </w:tcPr>
                <w:p w14:paraId="58D563B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711-2017</w:t>
                  </w:r>
                </w:p>
              </w:tc>
              <w:tc>
                <w:tcPr>
                  <w:tcW w:w="1043" w:type="pct"/>
                  <w:vMerge w:val="continue"/>
                  <w:noWrap w:val="0"/>
                  <w:vAlign w:val="center"/>
                </w:tcPr>
                <w:p w14:paraId="6FC2E95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5DC1C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93" w:type="pct"/>
                  <w:vMerge w:val="restart"/>
                  <w:noWrap w:val="0"/>
                  <w:vAlign w:val="center"/>
                </w:tcPr>
                <w:p w14:paraId="0B54BDF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331" w:type="pct"/>
                  <w:vMerge w:val="restart"/>
                  <w:noWrap w:val="0"/>
                  <w:vAlign w:val="center"/>
                </w:tcPr>
                <w:p w14:paraId="18E4EB3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架体</w:t>
                  </w:r>
                </w:p>
              </w:tc>
              <w:tc>
                <w:tcPr>
                  <w:tcW w:w="587" w:type="pct"/>
                  <w:noWrap w:val="0"/>
                  <w:vAlign w:val="center"/>
                </w:tcPr>
                <w:p w14:paraId="11456B6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立柱</w:t>
                  </w:r>
                </w:p>
              </w:tc>
              <w:tc>
                <w:tcPr>
                  <w:tcW w:w="946" w:type="pct"/>
                  <w:noWrap w:val="0"/>
                  <w:vAlign w:val="center"/>
                </w:tcPr>
                <w:p w14:paraId="20B4CE7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δ≥1.5mm</w:t>
                  </w:r>
                </w:p>
              </w:tc>
              <w:tc>
                <w:tcPr>
                  <w:tcW w:w="707" w:type="pct"/>
                  <w:noWrap w:val="0"/>
                  <w:vAlign w:val="center"/>
                </w:tcPr>
                <w:p w14:paraId="3C8663A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冷轧钢板</w:t>
                  </w:r>
                </w:p>
              </w:tc>
              <w:tc>
                <w:tcPr>
                  <w:tcW w:w="1090" w:type="pct"/>
                  <w:noWrap w:val="0"/>
                  <w:vAlign w:val="center"/>
                </w:tcPr>
                <w:p w14:paraId="3E271D5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vMerge w:val="restart"/>
                  <w:noWrap w:val="0"/>
                  <w:vAlign w:val="center"/>
                </w:tcPr>
                <w:p w14:paraId="6FB0756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架体结实、坚固、设计新颖，安装规范，层数和间距自由调整表面喷塑平整光亮，色泽均匀一致，无彭泡、脱落、伤痕等缺陷。</w:t>
                  </w:r>
                  <w:r>
                    <w:rPr>
                      <w:rFonts w:hint="eastAsia" w:ascii="宋体" w:hAnsi="宋体" w:eastAsia="宋体" w:cs="宋体"/>
                      <w:color w:val="auto"/>
                      <w:sz w:val="21"/>
                      <w:szCs w:val="21"/>
                      <w:highlight w:val="none"/>
                    </w:rPr>
                    <w:t>外观漂亮。</w:t>
                  </w:r>
                </w:p>
              </w:tc>
            </w:tr>
            <w:tr w14:paraId="3BC9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293" w:type="pct"/>
                  <w:vMerge w:val="continue"/>
                  <w:noWrap w:val="0"/>
                  <w:vAlign w:val="center"/>
                </w:tcPr>
                <w:p w14:paraId="126D1C2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331" w:type="pct"/>
                  <w:vMerge w:val="continue"/>
                  <w:noWrap w:val="0"/>
                  <w:vAlign w:val="center"/>
                </w:tcPr>
                <w:p w14:paraId="1309583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587" w:type="pct"/>
                  <w:noWrap w:val="0"/>
                  <w:vAlign w:val="center"/>
                </w:tcPr>
                <w:p w14:paraId="38E0B5F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搁板</w:t>
                  </w:r>
                </w:p>
              </w:tc>
              <w:tc>
                <w:tcPr>
                  <w:tcW w:w="946" w:type="pct"/>
                  <w:noWrap w:val="0"/>
                  <w:vAlign w:val="center"/>
                </w:tcPr>
                <w:p w14:paraId="21C9CF8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δ≥1.0mm</w:t>
                  </w:r>
                </w:p>
              </w:tc>
              <w:tc>
                <w:tcPr>
                  <w:tcW w:w="707" w:type="pct"/>
                  <w:noWrap w:val="0"/>
                  <w:vAlign w:val="center"/>
                </w:tcPr>
                <w:p w14:paraId="2ADC364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冷轧钢板</w:t>
                  </w:r>
                </w:p>
              </w:tc>
              <w:tc>
                <w:tcPr>
                  <w:tcW w:w="1090" w:type="pct"/>
                  <w:noWrap w:val="0"/>
                  <w:vAlign w:val="center"/>
                </w:tcPr>
                <w:p w14:paraId="1A7FA8A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vMerge w:val="continue"/>
                  <w:noWrap w:val="0"/>
                  <w:vAlign w:val="center"/>
                </w:tcPr>
                <w:p w14:paraId="0223D8C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4F914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293" w:type="pct"/>
                  <w:vMerge w:val="continue"/>
                  <w:noWrap w:val="0"/>
                  <w:vAlign w:val="center"/>
                </w:tcPr>
                <w:p w14:paraId="07C6114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331" w:type="pct"/>
                  <w:vMerge w:val="continue"/>
                  <w:noWrap w:val="0"/>
                  <w:vAlign w:val="center"/>
                </w:tcPr>
                <w:p w14:paraId="37F558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587" w:type="pct"/>
                  <w:noWrap w:val="0"/>
                  <w:vAlign w:val="center"/>
                </w:tcPr>
                <w:p w14:paraId="4D66739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rPr>
                    <w:t>挂板</w:t>
                  </w:r>
                </w:p>
              </w:tc>
              <w:tc>
                <w:tcPr>
                  <w:tcW w:w="946" w:type="pct"/>
                  <w:noWrap w:val="0"/>
                  <w:vAlign w:val="center"/>
                </w:tcPr>
                <w:p w14:paraId="734A9C3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rPr>
                    <w:t>δ≥1.0mm</w:t>
                  </w:r>
                </w:p>
              </w:tc>
              <w:tc>
                <w:tcPr>
                  <w:tcW w:w="707" w:type="pct"/>
                  <w:noWrap w:val="0"/>
                  <w:vAlign w:val="center"/>
                </w:tcPr>
                <w:p w14:paraId="4481AE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冷轧钢板</w:t>
                  </w:r>
                </w:p>
              </w:tc>
              <w:tc>
                <w:tcPr>
                  <w:tcW w:w="1090" w:type="pct"/>
                  <w:noWrap w:val="0"/>
                  <w:vAlign w:val="center"/>
                </w:tcPr>
                <w:p w14:paraId="23EE18D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bidi="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vMerge w:val="continue"/>
                  <w:noWrap w:val="0"/>
                  <w:vAlign w:val="center"/>
                </w:tcPr>
                <w:p w14:paraId="4AEE4D2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24E1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93" w:type="pct"/>
                  <w:vMerge w:val="continue"/>
                  <w:noWrap w:val="0"/>
                  <w:vAlign w:val="center"/>
                </w:tcPr>
                <w:p w14:paraId="37954B7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331" w:type="pct"/>
                  <w:vMerge w:val="continue"/>
                  <w:noWrap w:val="0"/>
                  <w:vAlign w:val="center"/>
                </w:tcPr>
                <w:p w14:paraId="17B6E5D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587" w:type="pct"/>
                  <w:noWrap w:val="0"/>
                  <w:vAlign w:val="center"/>
                </w:tcPr>
                <w:p w14:paraId="1DDDA16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档棒</w:t>
                  </w:r>
                </w:p>
              </w:tc>
              <w:tc>
                <w:tcPr>
                  <w:tcW w:w="946" w:type="pct"/>
                  <w:noWrap w:val="0"/>
                  <w:vAlign w:val="center"/>
                </w:tcPr>
                <w:p w14:paraId="41FED1D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δ≥0.8mm</w:t>
                  </w:r>
                </w:p>
              </w:tc>
              <w:tc>
                <w:tcPr>
                  <w:tcW w:w="707" w:type="pct"/>
                  <w:noWrap w:val="0"/>
                  <w:vAlign w:val="center"/>
                </w:tcPr>
                <w:p w14:paraId="5315652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冷轧钢板</w:t>
                  </w:r>
                </w:p>
              </w:tc>
              <w:tc>
                <w:tcPr>
                  <w:tcW w:w="1090" w:type="pct"/>
                  <w:noWrap w:val="0"/>
                  <w:vAlign w:val="center"/>
                </w:tcPr>
                <w:p w14:paraId="11DA767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bidi="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vMerge w:val="continue"/>
                  <w:noWrap w:val="0"/>
                  <w:vAlign w:val="center"/>
                </w:tcPr>
                <w:p w14:paraId="5D79326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3A51E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293" w:type="pct"/>
                  <w:noWrap w:val="0"/>
                  <w:vAlign w:val="center"/>
                </w:tcPr>
                <w:p w14:paraId="4C279E2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331" w:type="pct"/>
                  <w:noWrap w:val="0"/>
                  <w:vAlign w:val="center"/>
                </w:tcPr>
                <w:p w14:paraId="05AA165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rPr>
                    <w:t>侧面板</w:t>
                  </w:r>
                </w:p>
              </w:tc>
              <w:tc>
                <w:tcPr>
                  <w:tcW w:w="587" w:type="pct"/>
                  <w:noWrap w:val="0"/>
                  <w:vAlign w:val="center"/>
                </w:tcPr>
                <w:p w14:paraId="6E12ADA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侧面板</w:t>
                  </w:r>
                </w:p>
              </w:tc>
              <w:tc>
                <w:tcPr>
                  <w:tcW w:w="946" w:type="pct"/>
                  <w:noWrap w:val="0"/>
                  <w:vAlign w:val="center"/>
                </w:tcPr>
                <w:p w14:paraId="233F382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rPr>
                    <w:t>δ≥1.0mm</w:t>
                  </w:r>
                </w:p>
              </w:tc>
              <w:tc>
                <w:tcPr>
                  <w:tcW w:w="707" w:type="pct"/>
                  <w:noWrap w:val="0"/>
                  <w:vAlign w:val="center"/>
                </w:tcPr>
                <w:p w14:paraId="5904342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冷轧钢板</w:t>
                  </w:r>
                </w:p>
              </w:tc>
              <w:tc>
                <w:tcPr>
                  <w:tcW w:w="1090" w:type="pct"/>
                  <w:noWrap w:val="0"/>
                  <w:vAlign w:val="center"/>
                </w:tcPr>
                <w:p w14:paraId="11498B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noWrap w:val="0"/>
                  <w:vAlign w:val="center"/>
                </w:tcPr>
                <w:p w14:paraId="2875956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lang w:eastAsia="zh-CN"/>
                    </w:rPr>
                    <w:t>装配平整、吻合性好。</w:t>
                  </w:r>
                </w:p>
              </w:tc>
            </w:tr>
            <w:tr w14:paraId="0AA15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93" w:type="pct"/>
                  <w:noWrap w:val="0"/>
                  <w:vAlign w:val="center"/>
                </w:tcPr>
                <w:p w14:paraId="0B08755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331" w:type="pct"/>
                  <w:noWrap w:val="0"/>
                  <w:vAlign w:val="center"/>
                </w:tcPr>
                <w:p w14:paraId="50DBDEE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rPr>
                    <w:t>门面</w:t>
                  </w:r>
                </w:p>
              </w:tc>
              <w:tc>
                <w:tcPr>
                  <w:tcW w:w="587" w:type="pct"/>
                  <w:noWrap w:val="0"/>
                  <w:vAlign w:val="center"/>
                </w:tcPr>
                <w:p w14:paraId="505BB5F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门板</w:t>
                  </w:r>
                </w:p>
              </w:tc>
              <w:tc>
                <w:tcPr>
                  <w:tcW w:w="946" w:type="pct"/>
                  <w:noWrap w:val="0"/>
                  <w:vAlign w:val="center"/>
                </w:tcPr>
                <w:p w14:paraId="5502FC4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δ≥1.0mm</w:t>
                  </w:r>
                </w:p>
              </w:tc>
              <w:tc>
                <w:tcPr>
                  <w:tcW w:w="707" w:type="pct"/>
                  <w:noWrap w:val="0"/>
                  <w:vAlign w:val="center"/>
                </w:tcPr>
                <w:p w14:paraId="763545A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冷轧钢板</w:t>
                  </w:r>
                </w:p>
              </w:tc>
              <w:tc>
                <w:tcPr>
                  <w:tcW w:w="1090" w:type="pct"/>
                  <w:noWrap w:val="0"/>
                  <w:vAlign w:val="center"/>
                </w:tcPr>
                <w:p w14:paraId="45F6758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bidi="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noWrap w:val="0"/>
                  <w:vAlign w:val="center"/>
                </w:tcPr>
                <w:p w14:paraId="7E29C82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lang w:eastAsia="zh-CN"/>
                    </w:rPr>
                    <w:t>表面压印轮廓清晰、线条流畅。</w:t>
                  </w:r>
                </w:p>
              </w:tc>
            </w:tr>
            <w:tr w14:paraId="58E01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93" w:type="pct"/>
                  <w:vMerge w:val="restart"/>
                  <w:noWrap w:val="0"/>
                  <w:vAlign w:val="center"/>
                </w:tcPr>
                <w:p w14:paraId="567376F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331" w:type="pct"/>
                  <w:vMerge w:val="restart"/>
                  <w:noWrap w:val="0"/>
                  <w:vAlign w:val="center"/>
                </w:tcPr>
                <w:p w14:paraId="23C93BA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传动</w:t>
                  </w:r>
                </w:p>
                <w:p w14:paraId="01C5BFB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机构</w:t>
                  </w:r>
                </w:p>
              </w:tc>
              <w:tc>
                <w:tcPr>
                  <w:tcW w:w="587" w:type="pct"/>
                  <w:noWrap w:val="0"/>
                  <w:vAlign w:val="center"/>
                </w:tcPr>
                <w:p w14:paraId="4F617E3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轴承</w:t>
                  </w:r>
                </w:p>
              </w:tc>
              <w:tc>
                <w:tcPr>
                  <w:tcW w:w="946" w:type="pct"/>
                  <w:noWrap w:val="0"/>
                  <w:vAlign w:val="center"/>
                </w:tcPr>
                <w:p w14:paraId="34F918A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HR204E级</w:t>
                  </w:r>
                </w:p>
              </w:tc>
              <w:tc>
                <w:tcPr>
                  <w:tcW w:w="707" w:type="pct"/>
                  <w:noWrap w:val="0"/>
                  <w:vAlign w:val="center"/>
                </w:tcPr>
                <w:p w14:paraId="343F95B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带座托架轴承</w:t>
                  </w:r>
                </w:p>
              </w:tc>
              <w:tc>
                <w:tcPr>
                  <w:tcW w:w="1090" w:type="pct"/>
                  <w:noWrap w:val="0"/>
                  <w:vAlign w:val="center"/>
                </w:tcPr>
                <w:p w14:paraId="7BC7025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w:t>
                  </w:r>
                  <w:r>
                    <w:rPr>
                      <w:rFonts w:hint="eastAsia" w:ascii="宋体" w:hAnsi="宋体" w:eastAsia="宋体" w:cs="宋体"/>
                      <w:color w:val="auto"/>
                      <w:sz w:val="21"/>
                      <w:szCs w:val="21"/>
                      <w:highlight w:val="none"/>
                      <w:lang w:bidi="zh-CN"/>
                    </w:rPr>
                    <w:t xml:space="preserve">/T </w:t>
                  </w:r>
                  <w:r>
                    <w:rPr>
                      <w:rFonts w:hint="eastAsia" w:ascii="宋体" w:hAnsi="宋体" w:eastAsia="宋体" w:cs="宋体"/>
                      <w:color w:val="auto"/>
                      <w:sz w:val="21"/>
                      <w:szCs w:val="21"/>
                      <w:highlight w:val="none"/>
                      <w:lang w:eastAsia="zh-CN" w:bidi="zh-CN"/>
                    </w:rPr>
                    <w:t>2</w:t>
                  </w:r>
                  <w:r>
                    <w:rPr>
                      <w:rFonts w:hint="eastAsia" w:ascii="宋体" w:hAnsi="宋体" w:eastAsia="宋体" w:cs="宋体"/>
                      <w:color w:val="auto"/>
                      <w:sz w:val="21"/>
                      <w:szCs w:val="21"/>
                      <w:highlight w:val="none"/>
                    </w:rPr>
                    <w:t>30.1-2018</w:t>
                  </w:r>
                </w:p>
              </w:tc>
              <w:tc>
                <w:tcPr>
                  <w:tcW w:w="1043" w:type="pct"/>
                  <w:noWrap w:val="0"/>
                  <w:vAlign w:val="center"/>
                </w:tcPr>
                <w:p w14:paraId="209F9B9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优质轴承。</w:t>
                  </w:r>
                </w:p>
              </w:tc>
            </w:tr>
            <w:tr w14:paraId="1820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93" w:type="pct"/>
                  <w:vMerge w:val="continue"/>
                  <w:noWrap w:val="0"/>
                  <w:vAlign w:val="center"/>
                </w:tcPr>
                <w:p w14:paraId="14D4D77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331" w:type="pct"/>
                  <w:vMerge w:val="continue"/>
                  <w:noWrap w:val="0"/>
                  <w:vAlign w:val="center"/>
                </w:tcPr>
                <w:p w14:paraId="7117BDC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587" w:type="pct"/>
                  <w:noWrap w:val="0"/>
                  <w:vAlign w:val="center"/>
                </w:tcPr>
                <w:p w14:paraId="05E26C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传动主轴</w:t>
                  </w:r>
                </w:p>
              </w:tc>
              <w:tc>
                <w:tcPr>
                  <w:tcW w:w="946" w:type="pct"/>
                  <w:noWrap w:val="0"/>
                  <w:vAlign w:val="center"/>
                </w:tcPr>
                <w:p w14:paraId="5EEDEE85">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φ20</w:t>
                  </w:r>
                </w:p>
              </w:tc>
              <w:tc>
                <w:tcPr>
                  <w:tcW w:w="707" w:type="pct"/>
                  <w:noWrap w:val="0"/>
                  <w:vAlign w:val="center"/>
                </w:tcPr>
                <w:p w14:paraId="46C4E39D">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w:t>
                  </w:r>
                </w:p>
              </w:tc>
              <w:tc>
                <w:tcPr>
                  <w:tcW w:w="1090" w:type="pct"/>
                  <w:noWrap w:val="0"/>
                  <w:vAlign w:val="center"/>
                </w:tcPr>
                <w:p w14:paraId="1FAA7C0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w:t>
                  </w:r>
                  <w:r>
                    <w:rPr>
                      <w:rFonts w:hint="eastAsia" w:ascii="宋体" w:hAnsi="宋体" w:eastAsia="宋体" w:cs="宋体"/>
                      <w:color w:val="auto"/>
                      <w:sz w:val="21"/>
                      <w:szCs w:val="21"/>
                      <w:highlight w:val="none"/>
                      <w:lang w:bidi="zh-CN"/>
                    </w:rPr>
                    <w:t xml:space="preserve">/T </w:t>
                  </w:r>
                  <w:r>
                    <w:rPr>
                      <w:rFonts w:hint="eastAsia" w:ascii="宋体" w:hAnsi="宋体" w:eastAsia="宋体" w:cs="宋体"/>
                      <w:color w:val="auto"/>
                      <w:sz w:val="21"/>
                      <w:szCs w:val="21"/>
                      <w:highlight w:val="none"/>
                      <w:lang w:eastAsia="zh-CN" w:bidi="zh-CN"/>
                    </w:rPr>
                    <w:t>2</w:t>
                  </w:r>
                  <w:r>
                    <w:rPr>
                      <w:rFonts w:hint="eastAsia" w:ascii="宋体" w:hAnsi="宋体" w:eastAsia="宋体" w:cs="宋体"/>
                      <w:color w:val="auto"/>
                      <w:sz w:val="21"/>
                      <w:szCs w:val="21"/>
                      <w:highlight w:val="none"/>
                    </w:rPr>
                    <w:t>30.1-2018</w:t>
                  </w:r>
                </w:p>
              </w:tc>
              <w:tc>
                <w:tcPr>
                  <w:tcW w:w="1043" w:type="pct"/>
                  <w:vMerge w:val="restart"/>
                  <w:noWrap w:val="0"/>
                  <w:vAlign w:val="center"/>
                </w:tcPr>
                <w:p w14:paraId="0DAB322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传动机构配合精度高，定位可靠。传动轻便灵活，摇力轻，运行平稳、无卡阻。</w:t>
                  </w:r>
                </w:p>
              </w:tc>
            </w:tr>
            <w:tr w14:paraId="35F73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93" w:type="pct"/>
                  <w:vMerge w:val="continue"/>
                  <w:noWrap w:val="0"/>
                  <w:vAlign w:val="center"/>
                </w:tcPr>
                <w:p w14:paraId="36AC691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331" w:type="pct"/>
                  <w:vMerge w:val="continue"/>
                  <w:noWrap w:val="0"/>
                  <w:vAlign w:val="center"/>
                </w:tcPr>
                <w:p w14:paraId="1693A8D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587" w:type="pct"/>
                  <w:noWrap w:val="0"/>
                  <w:vAlign w:val="center"/>
                </w:tcPr>
                <w:p w14:paraId="26257A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连接钢管</w:t>
                  </w:r>
                </w:p>
              </w:tc>
              <w:tc>
                <w:tcPr>
                  <w:tcW w:w="946" w:type="pct"/>
                  <w:noWrap w:val="0"/>
                  <w:vAlign w:val="center"/>
                </w:tcPr>
                <w:p w14:paraId="7665E589">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φ25×2.0</w:t>
                  </w:r>
                </w:p>
              </w:tc>
              <w:tc>
                <w:tcPr>
                  <w:tcW w:w="707" w:type="pct"/>
                  <w:noWrap w:val="0"/>
                  <w:vAlign w:val="center"/>
                </w:tcPr>
                <w:p w14:paraId="7B0CACD0">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钢管</w:t>
                  </w:r>
                </w:p>
              </w:tc>
              <w:tc>
                <w:tcPr>
                  <w:tcW w:w="1090" w:type="pct"/>
                  <w:noWrap w:val="0"/>
                  <w:vAlign w:val="center"/>
                </w:tcPr>
                <w:p w14:paraId="19E7EAF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rPr>
                    <w:t>GB</w:t>
                  </w:r>
                  <w:r>
                    <w:rPr>
                      <w:rFonts w:hint="eastAsia" w:ascii="宋体" w:hAnsi="宋体" w:eastAsia="宋体" w:cs="宋体"/>
                      <w:color w:val="auto"/>
                      <w:sz w:val="21"/>
                      <w:szCs w:val="21"/>
                      <w:highlight w:val="none"/>
                      <w:lang w:bidi="zh-CN"/>
                    </w:rPr>
                    <w:t xml:space="preserve">/T </w:t>
                  </w:r>
                  <w:r>
                    <w:rPr>
                      <w:rFonts w:hint="eastAsia" w:ascii="宋体" w:hAnsi="宋体" w:eastAsia="宋体" w:cs="宋体"/>
                      <w:color w:val="auto"/>
                      <w:sz w:val="21"/>
                      <w:szCs w:val="21"/>
                      <w:highlight w:val="none"/>
                      <w:lang w:eastAsia="zh-CN" w:bidi="zh-CN"/>
                    </w:rPr>
                    <w:t>2</w:t>
                  </w:r>
                  <w:r>
                    <w:rPr>
                      <w:rFonts w:hint="eastAsia" w:ascii="宋体" w:hAnsi="宋体" w:eastAsia="宋体" w:cs="宋体"/>
                      <w:color w:val="auto"/>
                      <w:sz w:val="21"/>
                      <w:szCs w:val="21"/>
                      <w:highlight w:val="none"/>
                    </w:rPr>
                    <w:t>30.1-2018</w:t>
                  </w:r>
                </w:p>
              </w:tc>
              <w:tc>
                <w:tcPr>
                  <w:tcW w:w="1043" w:type="pct"/>
                  <w:vMerge w:val="continue"/>
                  <w:noWrap w:val="0"/>
                  <w:vAlign w:val="center"/>
                </w:tcPr>
                <w:p w14:paraId="733F03A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2BD5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93" w:type="pct"/>
                  <w:vMerge w:val="continue"/>
                  <w:noWrap w:val="0"/>
                  <w:vAlign w:val="center"/>
                </w:tcPr>
                <w:p w14:paraId="400D0E4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331" w:type="pct"/>
                  <w:vMerge w:val="continue"/>
                  <w:noWrap w:val="0"/>
                  <w:vAlign w:val="center"/>
                </w:tcPr>
                <w:p w14:paraId="6CE4611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587" w:type="pct"/>
                  <w:noWrap w:val="0"/>
                  <w:vAlign w:val="center"/>
                </w:tcPr>
                <w:p w14:paraId="4D31953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铁滚轮</w:t>
                  </w:r>
                </w:p>
              </w:tc>
              <w:tc>
                <w:tcPr>
                  <w:tcW w:w="946" w:type="pct"/>
                  <w:noWrap w:val="0"/>
                  <w:vAlign w:val="center"/>
                </w:tcPr>
                <w:p w14:paraId="566E12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HT200</w:t>
                  </w:r>
                </w:p>
              </w:tc>
              <w:tc>
                <w:tcPr>
                  <w:tcW w:w="707" w:type="pct"/>
                  <w:noWrap w:val="0"/>
                  <w:vAlign w:val="center"/>
                </w:tcPr>
                <w:p w14:paraId="5707DFD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灰铁铸造</w:t>
                  </w:r>
                </w:p>
              </w:tc>
              <w:tc>
                <w:tcPr>
                  <w:tcW w:w="1090" w:type="pct"/>
                  <w:noWrap w:val="0"/>
                  <w:vAlign w:val="center"/>
                </w:tcPr>
                <w:p w14:paraId="7E8C535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rPr>
                    <w:t>GB</w:t>
                  </w:r>
                  <w:r>
                    <w:rPr>
                      <w:rFonts w:hint="eastAsia" w:ascii="宋体" w:hAnsi="宋体" w:eastAsia="宋体" w:cs="宋体"/>
                      <w:color w:val="auto"/>
                      <w:sz w:val="21"/>
                      <w:szCs w:val="21"/>
                      <w:highlight w:val="none"/>
                      <w:lang w:bidi="zh-CN"/>
                    </w:rPr>
                    <w:t xml:space="preserve">/T </w:t>
                  </w:r>
                  <w:r>
                    <w:rPr>
                      <w:rFonts w:hint="eastAsia" w:ascii="宋体" w:hAnsi="宋体" w:eastAsia="宋体" w:cs="宋体"/>
                      <w:color w:val="auto"/>
                      <w:sz w:val="21"/>
                      <w:szCs w:val="21"/>
                      <w:highlight w:val="none"/>
                      <w:lang w:eastAsia="zh-CN" w:bidi="zh-CN"/>
                    </w:rPr>
                    <w:t>2</w:t>
                  </w:r>
                  <w:r>
                    <w:rPr>
                      <w:rFonts w:hint="eastAsia" w:ascii="宋体" w:hAnsi="宋体" w:eastAsia="宋体" w:cs="宋体"/>
                      <w:color w:val="auto"/>
                      <w:sz w:val="21"/>
                      <w:szCs w:val="21"/>
                      <w:highlight w:val="none"/>
                    </w:rPr>
                    <w:t>30.1-2018</w:t>
                  </w:r>
                </w:p>
              </w:tc>
              <w:tc>
                <w:tcPr>
                  <w:tcW w:w="1043" w:type="pct"/>
                  <w:vMerge w:val="continue"/>
                  <w:noWrap w:val="0"/>
                  <w:vAlign w:val="center"/>
                </w:tcPr>
                <w:p w14:paraId="2173BBA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2780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293" w:type="pct"/>
                  <w:vMerge w:val="continue"/>
                  <w:noWrap w:val="0"/>
                  <w:vAlign w:val="center"/>
                </w:tcPr>
                <w:p w14:paraId="1E5BD1D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331" w:type="pct"/>
                  <w:vMerge w:val="continue"/>
                  <w:noWrap w:val="0"/>
                  <w:vAlign w:val="center"/>
                </w:tcPr>
                <w:p w14:paraId="2B88A16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587" w:type="pct"/>
                  <w:noWrap w:val="0"/>
                  <w:vAlign w:val="center"/>
                </w:tcPr>
                <w:p w14:paraId="44DA086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链轮</w:t>
                  </w:r>
                </w:p>
              </w:tc>
              <w:tc>
                <w:tcPr>
                  <w:tcW w:w="946" w:type="pct"/>
                  <w:noWrap w:val="0"/>
                  <w:vAlign w:val="center"/>
                </w:tcPr>
                <w:p w14:paraId="04FCED8E">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ZG45</w:t>
                  </w:r>
                </w:p>
              </w:tc>
              <w:tc>
                <w:tcPr>
                  <w:tcW w:w="707" w:type="pct"/>
                  <w:noWrap w:val="0"/>
                  <w:vAlign w:val="center"/>
                </w:tcPr>
                <w:p w14:paraId="5100C0C7">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滚齿精致</w:t>
                  </w:r>
                </w:p>
              </w:tc>
              <w:tc>
                <w:tcPr>
                  <w:tcW w:w="1090" w:type="pct"/>
                  <w:noWrap w:val="0"/>
                  <w:vAlign w:val="center"/>
                </w:tcPr>
                <w:p w14:paraId="32F524F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w:t>
                  </w:r>
                  <w:r>
                    <w:rPr>
                      <w:rFonts w:hint="eastAsia" w:ascii="宋体" w:hAnsi="宋体" w:eastAsia="宋体" w:cs="宋体"/>
                      <w:color w:val="auto"/>
                      <w:sz w:val="21"/>
                      <w:szCs w:val="21"/>
                      <w:highlight w:val="none"/>
                      <w:lang w:bidi="zh-CN"/>
                    </w:rPr>
                    <w:t xml:space="preserve">/T </w:t>
                  </w:r>
                  <w:r>
                    <w:rPr>
                      <w:rFonts w:hint="eastAsia" w:ascii="宋体" w:hAnsi="宋体" w:eastAsia="宋体" w:cs="宋体"/>
                      <w:color w:val="auto"/>
                      <w:sz w:val="21"/>
                      <w:szCs w:val="21"/>
                      <w:highlight w:val="none"/>
                      <w:lang w:eastAsia="zh-CN" w:bidi="zh-CN"/>
                    </w:rPr>
                    <w:t>2</w:t>
                  </w:r>
                  <w:r>
                    <w:rPr>
                      <w:rFonts w:hint="eastAsia" w:ascii="宋体" w:hAnsi="宋体" w:eastAsia="宋体" w:cs="宋体"/>
                      <w:color w:val="auto"/>
                      <w:sz w:val="21"/>
                      <w:szCs w:val="21"/>
                      <w:highlight w:val="none"/>
                    </w:rPr>
                    <w:t>30.1-2018</w:t>
                  </w:r>
                </w:p>
              </w:tc>
              <w:tc>
                <w:tcPr>
                  <w:tcW w:w="1043" w:type="pct"/>
                  <w:vMerge w:val="continue"/>
                  <w:noWrap w:val="0"/>
                  <w:vAlign w:val="center"/>
                </w:tcPr>
                <w:p w14:paraId="676A2F4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3BDCE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93" w:type="pct"/>
                  <w:vMerge w:val="continue"/>
                  <w:noWrap w:val="0"/>
                  <w:vAlign w:val="center"/>
                </w:tcPr>
                <w:p w14:paraId="4E0331B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331" w:type="pct"/>
                  <w:vMerge w:val="continue"/>
                  <w:noWrap w:val="0"/>
                  <w:vAlign w:val="center"/>
                </w:tcPr>
                <w:p w14:paraId="6C0637C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587" w:type="pct"/>
                  <w:noWrap w:val="0"/>
                  <w:vAlign w:val="center"/>
                </w:tcPr>
                <w:p w14:paraId="1001396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摩托车链条</w:t>
                  </w:r>
                </w:p>
              </w:tc>
              <w:tc>
                <w:tcPr>
                  <w:tcW w:w="946" w:type="pct"/>
                  <w:noWrap w:val="0"/>
                  <w:vAlign w:val="center"/>
                </w:tcPr>
                <w:p w14:paraId="1F516CE9">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FR530</w:t>
                  </w:r>
                </w:p>
              </w:tc>
              <w:tc>
                <w:tcPr>
                  <w:tcW w:w="707" w:type="pct"/>
                  <w:noWrap w:val="0"/>
                  <w:vAlign w:val="center"/>
                </w:tcPr>
                <w:p w14:paraId="7DCD5FB3">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φ8.5节距12.7</w:t>
                  </w:r>
                </w:p>
              </w:tc>
              <w:tc>
                <w:tcPr>
                  <w:tcW w:w="1090" w:type="pct"/>
                  <w:noWrap w:val="0"/>
                  <w:vAlign w:val="center"/>
                </w:tcPr>
                <w:p w14:paraId="015B90B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noWrap w:val="0"/>
                  <w:vAlign w:val="center"/>
                </w:tcPr>
                <w:p w14:paraId="2C97F5F4">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链条破断力≥1800kg</w:t>
                  </w:r>
                </w:p>
              </w:tc>
            </w:tr>
            <w:tr w14:paraId="59BCF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293" w:type="pct"/>
                  <w:vMerge w:val="continue"/>
                  <w:noWrap w:val="0"/>
                  <w:vAlign w:val="center"/>
                </w:tcPr>
                <w:p w14:paraId="242A001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331" w:type="pct"/>
                  <w:vMerge w:val="continue"/>
                  <w:noWrap w:val="0"/>
                  <w:vAlign w:val="center"/>
                </w:tcPr>
                <w:p w14:paraId="044EBA4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587" w:type="pct"/>
                  <w:noWrap w:val="0"/>
                  <w:vAlign w:val="center"/>
                </w:tcPr>
                <w:p w14:paraId="1D74972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摇手</w:t>
                  </w:r>
                </w:p>
              </w:tc>
              <w:tc>
                <w:tcPr>
                  <w:tcW w:w="946" w:type="pct"/>
                  <w:noWrap w:val="0"/>
                  <w:vAlign w:val="center"/>
                </w:tcPr>
                <w:p w14:paraId="57FAF79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T字、圆盘等</w:t>
                  </w:r>
                </w:p>
              </w:tc>
              <w:tc>
                <w:tcPr>
                  <w:tcW w:w="707" w:type="pct"/>
                  <w:vMerge w:val="restart"/>
                  <w:noWrap w:val="0"/>
                  <w:vAlign w:val="center"/>
                </w:tcPr>
                <w:p w14:paraId="38CA726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双向超越离合器结构</w:t>
                  </w:r>
                </w:p>
              </w:tc>
              <w:tc>
                <w:tcPr>
                  <w:tcW w:w="1090" w:type="pct"/>
                  <w:vMerge w:val="restart"/>
                  <w:noWrap w:val="0"/>
                  <w:vAlign w:val="center"/>
                </w:tcPr>
                <w:p w14:paraId="674DCE8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vMerge w:val="restart"/>
                  <w:noWrap w:val="0"/>
                  <w:vAlign w:val="center"/>
                </w:tcPr>
                <w:p w14:paraId="456A65C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造型美观大方，手感好，把手摇动任意一列均不会带动其他把手转动。</w:t>
                  </w:r>
                </w:p>
              </w:tc>
            </w:tr>
            <w:tr w14:paraId="71326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93" w:type="pct"/>
                  <w:vMerge w:val="continue"/>
                  <w:noWrap w:val="0"/>
                  <w:vAlign w:val="center"/>
                </w:tcPr>
                <w:p w14:paraId="6D6EEFE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331" w:type="pct"/>
                  <w:vMerge w:val="continue"/>
                  <w:noWrap w:val="0"/>
                  <w:vAlign w:val="center"/>
                </w:tcPr>
                <w:p w14:paraId="385DC14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587" w:type="pct"/>
                  <w:noWrap w:val="0"/>
                  <w:vAlign w:val="center"/>
                </w:tcPr>
                <w:p w14:paraId="6F25064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摇手体总成</w:t>
                  </w:r>
                </w:p>
              </w:tc>
              <w:tc>
                <w:tcPr>
                  <w:tcW w:w="946" w:type="pct"/>
                  <w:noWrap w:val="0"/>
                  <w:vAlign w:val="center"/>
                </w:tcPr>
                <w:p w14:paraId="17ACDC9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滚珠轴承</w:t>
                  </w:r>
                </w:p>
              </w:tc>
              <w:tc>
                <w:tcPr>
                  <w:tcW w:w="707" w:type="pct"/>
                  <w:vMerge w:val="continue"/>
                  <w:noWrap w:val="0"/>
                  <w:vAlign w:val="center"/>
                </w:tcPr>
                <w:p w14:paraId="7E9FA58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1090" w:type="pct"/>
                  <w:vMerge w:val="continue"/>
                  <w:noWrap w:val="0"/>
                  <w:vAlign w:val="center"/>
                </w:tcPr>
                <w:p w14:paraId="3BB8736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bidi="zh-CN"/>
                    </w:rPr>
                  </w:pPr>
                </w:p>
              </w:tc>
              <w:tc>
                <w:tcPr>
                  <w:tcW w:w="1043" w:type="pct"/>
                  <w:vMerge w:val="continue"/>
                  <w:noWrap w:val="0"/>
                  <w:vAlign w:val="center"/>
                </w:tcPr>
                <w:p w14:paraId="641178F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00BE5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293" w:type="pct"/>
                  <w:vMerge w:val="restart"/>
                  <w:noWrap w:val="0"/>
                  <w:vAlign w:val="center"/>
                </w:tcPr>
                <w:p w14:paraId="0B0E39B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331" w:type="pct"/>
                  <w:vMerge w:val="restart"/>
                  <w:noWrap w:val="0"/>
                  <w:vAlign w:val="center"/>
                </w:tcPr>
                <w:p w14:paraId="5358E42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制动</w:t>
                  </w:r>
                </w:p>
                <w:p w14:paraId="6DCE01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装置</w:t>
                  </w:r>
                </w:p>
              </w:tc>
              <w:tc>
                <w:tcPr>
                  <w:tcW w:w="587" w:type="pct"/>
                  <w:noWrap w:val="0"/>
                  <w:vAlign w:val="center"/>
                </w:tcPr>
                <w:p w14:paraId="1C2827D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边列锁定装具（总锁）</w:t>
                  </w:r>
                </w:p>
              </w:tc>
              <w:tc>
                <w:tcPr>
                  <w:tcW w:w="946" w:type="pct"/>
                  <w:noWrap w:val="0"/>
                  <w:vAlign w:val="center"/>
                </w:tcPr>
                <w:p w14:paraId="47C7E09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808锁</w:t>
                  </w:r>
                </w:p>
              </w:tc>
              <w:tc>
                <w:tcPr>
                  <w:tcW w:w="707" w:type="pct"/>
                  <w:noWrap w:val="0"/>
                  <w:vAlign w:val="center"/>
                </w:tcPr>
                <w:p w14:paraId="48F3ED06">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808锁</w:t>
                  </w:r>
                </w:p>
              </w:tc>
              <w:tc>
                <w:tcPr>
                  <w:tcW w:w="1090" w:type="pct"/>
                  <w:noWrap w:val="0"/>
                  <w:vAlign w:val="center"/>
                </w:tcPr>
                <w:p w14:paraId="41D1254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vMerge w:val="restart"/>
                  <w:noWrap w:val="0"/>
                  <w:vAlign w:val="center"/>
                </w:tcPr>
                <w:p w14:paraId="26ED6005">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每列均装有制动装置，操作方便，制动可靠，使用存取安全，经久耐用。</w:t>
                  </w:r>
                </w:p>
              </w:tc>
            </w:tr>
            <w:tr w14:paraId="5A7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 w:type="pct"/>
                  <w:vMerge w:val="continue"/>
                  <w:noWrap w:val="0"/>
                  <w:vAlign w:val="center"/>
                </w:tcPr>
                <w:p w14:paraId="2E83681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331" w:type="pct"/>
                  <w:vMerge w:val="continue"/>
                  <w:noWrap w:val="0"/>
                  <w:vAlign w:val="center"/>
                </w:tcPr>
                <w:p w14:paraId="57FDE13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587" w:type="pct"/>
                  <w:noWrap w:val="0"/>
                  <w:vAlign w:val="center"/>
                </w:tcPr>
                <w:p w14:paraId="4DE4901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中列制动装置</w:t>
                  </w:r>
                </w:p>
              </w:tc>
              <w:tc>
                <w:tcPr>
                  <w:tcW w:w="946" w:type="pct"/>
                  <w:noWrap w:val="0"/>
                  <w:vAlign w:val="center"/>
                </w:tcPr>
                <w:p w14:paraId="2FF5FA8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制动开关</w:t>
                  </w:r>
                </w:p>
              </w:tc>
              <w:tc>
                <w:tcPr>
                  <w:tcW w:w="707" w:type="pct"/>
                  <w:noWrap w:val="0"/>
                  <w:vAlign w:val="center"/>
                </w:tcPr>
                <w:p w14:paraId="27DB4767">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制动开关</w:t>
                  </w:r>
                </w:p>
              </w:tc>
              <w:tc>
                <w:tcPr>
                  <w:tcW w:w="1090" w:type="pct"/>
                  <w:noWrap w:val="0"/>
                  <w:vAlign w:val="center"/>
                </w:tcPr>
                <w:p w14:paraId="610E700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bidi="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vMerge w:val="continue"/>
                  <w:noWrap w:val="0"/>
                  <w:vAlign w:val="center"/>
                </w:tcPr>
                <w:p w14:paraId="1E9A07C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05555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93" w:type="pct"/>
                  <w:vMerge w:val="continue"/>
                  <w:noWrap w:val="0"/>
                  <w:vAlign w:val="center"/>
                </w:tcPr>
                <w:p w14:paraId="0FA9093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331" w:type="pct"/>
                  <w:vMerge w:val="continue"/>
                  <w:noWrap w:val="0"/>
                  <w:vAlign w:val="center"/>
                </w:tcPr>
                <w:p w14:paraId="27A84AF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587" w:type="pct"/>
                  <w:noWrap w:val="0"/>
                  <w:vAlign w:val="center"/>
                </w:tcPr>
                <w:p w14:paraId="0F64836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密封条</w:t>
                  </w:r>
                </w:p>
              </w:tc>
              <w:tc>
                <w:tcPr>
                  <w:tcW w:w="946" w:type="pct"/>
                  <w:noWrap w:val="0"/>
                  <w:vAlign w:val="center"/>
                </w:tcPr>
                <w:p w14:paraId="7CDA0C6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20mm</w:t>
                  </w:r>
                </w:p>
              </w:tc>
              <w:tc>
                <w:tcPr>
                  <w:tcW w:w="707" w:type="pct"/>
                  <w:noWrap w:val="0"/>
                  <w:vAlign w:val="center"/>
                </w:tcPr>
                <w:p w14:paraId="40E770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磁性冰箱门吸条</w:t>
                  </w:r>
                </w:p>
              </w:tc>
              <w:tc>
                <w:tcPr>
                  <w:tcW w:w="1090" w:type="pct"/>
                  <w:noWrap w:val="0"/>
                  <w:vAlign w:val="center"/>
                </w:tcPr>
                <w:p w14:paraId="5E91461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QB</w:t>
                  </w:r>
                  <w:r>
                    <w:rPr>
                      <w:rFonts w:hint="eastAsia" w:ascii="宋体" w:hAnsi="宋体" w:eastAsia="宋体" w:cs="宋体"/>
                      <w:color w:val="auto"/>
                      <w:sz w:val="21"/>
                      <w:szCs w:val="21"/>
                      <w:highlight w:val="none"/>
                      <w:lang w:bidi="zh-CN"/>
                    </w:rPr>
                    <w:t>/T</w:t>
                  </w:r>
                  <w:r>
                    <w:rPr>
                      <w:rFonts w:hint="eastAsia" w:ascii="宋体" w:hAnsi="宋体" w:eastAsia="宋体" w:cs="宋体"/>
                      <w:color w:val="auto"/>
                      <w:sz w:val="21"/>
                      <w:szCs w:val="21"/>
                      <w:highlight w:val="none"/>
                    </w:rPr>
                    <w:t>1294-2013</w:t>
                  </w:r>
                </w:p>
              </w:tc>
              <w:tc>
                <w:tcPr>
                  <w:tcW w:w="1043" w:type="pct"/>
                  <w:vMerge w:val="continue"/>
                  <w:noWrap w:val="0"/>
                  <w:vAlign w:val="center"/>
                </w:tcPr>
                <w:p w14:paraId="6151E46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4658D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93" w:type="pct"/>
                  <w:vMerge w:val="continue"/>
                  <w:noWrap w:val="0"/>
                  <w:vAlign w:val="center"/>
                </w:tcPr>
                <w:p w14:paraId="462A6AB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331" w:type="pct"/>
                  <w:vMerge w:val="continue"/>
                  <w:noWrap w:val="0"/>
                  <w:vAlign w:val="center"/>
                </w:tcPr>
                <w:p w14:paraId="3D92787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587" w:type="pct"/>
                  <w:noWrap w:val="0"/>
                  <w:vAlign w:val="center"/>
                </w:tcPr>
                <w:p w14:paraId="720CDFB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顶板</w:t>
                  </w:r>
                </w:p>
              </w:tc>
              <w:tc>
                <w:tcPr>
                  <w:tcW w:w="946" w:type="pct"/>
                  <w:noWrap w:val="0"/>
                  <w:vAlign w:val="center"/>
                </w:tcPr>
                <w:p w14:paraId="7AD49C4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δ≥1.0mm</w:t>
                  </w:r>
                </w:p>
              </w:tc>
              <w:tc>
                <w:tcPr>
                  <w:tcW w:w="707" w:type="pct"/>
                  <w:noWrap w:val="0"/>
                  <w:vAlign w:val="center"/>
                </w:tcPr>
                <w:p w14:paraId="4F830B1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冷轧钢板</w:t>
                  </w:r>
                </w:p>
              </w:tc>
              <w:tc>
                <w:tcPr>
                  <w:tcW w:w="1090" w:type="pct"/>
                  <w:noWrap w:val="0"/>
                  <w:vAlign w:val="center"/>
                </w:tcPr>
                <w:p w14:paraId="17EAB13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vMerge w:val="continue"/>
                  <w:noWrap w:val="0"/>
                  <w:vAlign w:val="center"/>
                </w:tcPr>
                <w:p w14:paraId="0A1AB45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4B4B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293" w:type="pct"/>
                  <w:vMerge w:val="continue"/>
                  <w:noWrap w:val="0"/>
                  <w:vAlign w:val="center"/>
                </w:tcPr>
                <w:p w14:paraId="6F750A5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331" w:type="pct"/>
                  <w:vMerge w:val="continue"/>
                  <w:noWrap w:val="0"/>
                  <w:vAlign w:val="center"/>
                </w:tcPr>
                <w:p w14:paraId="245DEC4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p>
              </w:tc>
              <w:tc>
                <w:tcPr>
                  <w:tcW w:w="587" w:type="pct"/>
                  <w:noWrap w:val="0"/>
                  <w:vAlign w:val="center"/>
                </w:tcPr>
                <w:p w14:paraId="503E5AC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防尘板、防鼠板</w:t>
                  </w:r>
                </w:p>
              </w:tc>
              <w:tc>
                <w:tcPr>
                  <w:tcW w:w="946" w:type="pct"/>
                  <w:noWrap w:val="0"/>
                  <w:vAlign w:val="center"/>
                </w:tcPr>
                <w:p w14:paraId="1F36220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δ≥1.0mm</w:t>
                  </w:r>
                </w:p>
              </w:tc>
              <w:tc>
                <w:tcPr>
                  <w:tcW w:w="707" w:type="pct"/>
                  <w:noWrap w:val="0"/>
                  <w:vAlign w:val="center"/>
                </w:tcPr>
                <w:p w14:paraId="45A8D51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冷轧钢板</w:t>
                  </w:r>
                </w:p>
              </w:tc>
              <w:tc>
                <w:tcPr>
                  <w:tcW w:w="1090" w:type="pct"/>
                  <w:noWrap w:val="0"/>
                  <w:vAlign w:val="center"/>
                </w:tcPr>
                <w:p w14:paraId="1EBA5FA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bidi="zh-CN"/>
                    </w:rPr>
                  </w:pPr>
                  <w:r>
                    <w:rPr>
                      <w:rFonts w:hint="eastAsia" w:ascii="宋体" w:hAnsi="宋体" w:eastAsia="宋体" w:cs="宋体"/>
                      <w:color w:val="auto"/>
                      <w:sz w:val="21"/>
                      <w:szCs w:val="21"/>
                      <w:highlight w:val="none"/>
                    </w:rPr>
                    <w:t xml:space="preserve">GB/T </w:t>
                  </w:r>
                  <w:r>
                    <w:rPr>
                      <w:rFonts w:hint="eastAsia" w:ascii="宋体" w:hAnsi="宋体" w:eastAsia="宋体" w:cs="宋体"/>
                      <w:color w:val="auto"/>
                      <w:sz w:val="21"/>
                      <w:szCs w:val="21"/>
                      <w:highlight w:val="none"/>
                      <w:lang w:eastAsia="zh-CN"/>
                    </w:rPr>
                    <w:t>3325-2024</w:t>
                  </w:r>
                </w:p>
              </w:tc>
              <w:tc>
                <w:tcPr>
                  <w:tcW w:w="1043" w:type="pct"/>
                  <w:vMerge w:val="continue"/>
                  <w:noWrap w:val="0"/>
                  <w:vAlign w:val="center"/>
                </w:tcPr>
                <w:p w14:paraId="0613E1F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rPr>
                  </w:pPr>
                </w:p>
              </w:tc>
            </w:tr>
            <w:tr w14:paraId="30D97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293" w:type="pct"/>
                  <w:noWrap w:val="0"/>
                  <w:vAlign w:val="center"/>
                </w:tcPr>
                <w:p w14:paraId="17C8120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331" w:type="pct"/>
                  <w:noWrap w:val="0"/>
                  <w:vAlign w:val="center"/>
                </w:tcPr>
                <w:p w14:paraId="38AF9FE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防倾倒装置</w:t>
                  </w:r>
                </w:p>
              </w:tc>
              <w:tc>
                <w:tcPr>
                  <w:tcW w:w="587" w:type="pct"/>
                  <w:noWrap w:val="0"/>
                  <w:vAlign w:val="center"/>
                </w:tcPr>
                <w:p w14:paraId="12224D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燕尾式防倒钩</w:t>
                  </w:r>
                </w:p>
              </w:tc>
              <w:tc>
                <w:tcPr>
                  <w:tcW w:w="946" w:type="pct"/>
                  <w:noWrap w:val="0"/>
                  <w:vAlign w:val="center"/>
                </w:tcPr>
                <w:p w14:paraId="741ECB3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rPr>
                    <w:t>mm</w:t>
                  </w:r>
                </w:p>
              </w:tc>
              <w:tc>
                <w:tcPr>
                  <w:tcW w:w="707" w:type="pct"/>
                  <w:noWrap w:val="0"/>
                  <w:vAlign w:val="center"/>
                </w:tcPr>
                <w:p w14:paraId="30EF945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热轧钢板</w:t>
                  </w:r>
                </w:p>
              </w:tc>
              <w:tc>
                <w:tcPr>
                  <w:tcW w:w="1090" w:type="pct"/>
                  <w:noWrap w:val="0"/>
                  <w:vAlign w:val="center"/>
                </w:tcPr>
                <w:p w14:paraId="3821813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GB/T711-2017</w:t>
                  </w:r>
                </w:p>
              </w:tc>
              <w:tc>
                <w:tcPr>
                  <w:tcW w:w="1043" w:type="pct"/>
                  <w:noWrap w:val="0"/>
                  <w:vAlign w:val="center"/>
                </w:tcPr>
                <w:p w14:paraId="7F296D1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当架体发生倾斜时，能有效防止架体倾倒。</w:t>
                  </w:r>
                </w:p>
              </w:tc>
            </w:tr>
            <w:tr w14:paraId="4EEF9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93" w:type="pct"/>
                  <w:vMerge w:val="restart"/>
                  <w:noWrap w:val="0"/>
                  <w:vAlign w:val="center"/>
                </w:tcPr>
                <w:p w14:paraId="3521DC3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331" w:type="pct"/>
                  <w:vMerge w:val="restart"/>
                  <w:noWrap w:val="0"/>
                  <w:vAlign w:val="center"/>
                </w:tcPr>
                <w:p w14:paraId="4937693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表面</w:t>
                  </w:r>
                </w:p>
                <w:p w14:paraId="1ABF798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处理</w:t>
                  </w:r>
                </w:p>
              </w:tc>
              <w:tc>
                <w:tcPr>
                  <w:tcW w:w="587" w:type="pct"/>
                  <w:vMerge w:val="restart"/>
                  <w:noWrap w:val="0"/>
                  <w:vAlign w:val="center"/>
                </w:tcPr>
                <w:p w14:paraId="31A2BA2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前处理工艺标准</w:t>
                  </w:r>
                </w:p>
              </w:tc>
              <w:tc>
                <w:tcPr>
                  <w:tcW w:w="946" w:type="pct"/>
                  <w:noWrap w:val="0"/>
                  <w:vAlign w:val="center"/>
                </w:tcPr>
                <w:p w14:paraId="3BF36FFC">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无磷脱脂剂</w:t>
                  </w:r>
                </w:p>
              </w:tc>
              <w:tc>
                <w:tcPr>
                  <w:tcW w:w="707" w:type="pct"/>
                  <w:noWrap w:val="0"/>
                  <w:vAlign w:val="center"/>
                </w:tcPr>
                <w:p w14:paraId="0A09E8CB">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无磷脱脂剂</w:t>
                  </w:r>
                </w:p>
              </w:tc>
              <w:tc>
                <w:tcPr>
                  <w:tcW w:w="1090" w:type="pct"/>
                  <w:noWrap w:val="0"/>
                  <w:vAlign w:val="center"/>
                </w:tcPr>
                <w:p w14:paraId="2CB2E2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HG/T 2006-2022</w:t>
                  </w:r>
                </w:p>
              </w:tc>
              <w:tc>
                <w:tcPr>
                  <w:tcW w:w="1043" w:type="pct"/>
                  <w:noWrap w:val="0"/>
                  <w:vAlign w:val="center"/>
                </w:tcPr>
                <w:p w14:paraId="19A91F3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碳酸钠、无机盐、表面活性剂等</w:t>
                  </w:r>
                </w:p>
              </w:tc>
            </w:tr>
            <w:tr w14:paraId="2182D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93" w:type="pct"/>
                  <w:vMerge w:val="continue"/>
                  <w:noWrap w:val="0"/>
                  <w:vAlign w:val="center"/>
                </w:tcPr>
                <w:p w14:paraId="7E5D3AF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331" w:type="pct"/>
                  <w:vMerge w:val="continue"/>
                  <w:noWrap w:val="0"/>
                  <w:vAlign w:val="center"/>
                </w:tcPr>
                <w:p w14:paraId="60C6C0B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587" w:type="pct"/>
                  <w:vMerge w:val="continue"/>
                  <w:noWrap w:val="0"/>
                  <w:vAlign w:val="center"/>
                </w:tcPr>
                <w:p w14:paraId="451D7AA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946" w:type="pct"/>
                  <w:noWrap w:val="0"/>
                  <w:vAlign w:val="center"/>
                </w:tcPr>
                <w:p w14:paraId="3C329261">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陶化剂</w:t>
                  </w:r>
                </w:p>
              </w:tc>
              <w:tc>
                <w:tcPr>
                  <w:tcW w:w="707" w:type="pct"/>
                  <w:noWrap w:val="0"/>
                  <w:vAlign w:val="center"/>
                </w:tcPr>
                <w:p w14:paraId="2AE6F0AE">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陶化剂</w:t>
                  </w:r>
                </w:p>
              </w:tc>
              <w:tc>
                <w:tcPr>
                  <w:tcW w:w="1090" w:type="pct"/>
                  <w:noWrap w:val="0"/>
                  <w:vAlign w:val="center"/>
                </w:tcPr>
                <w:p w14:paraId="682DFBB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GB/T1740-2007</w:t>
                  </w:r>
                </w:p>
              </w:tc>
              <w:tc>
                <w:tcPr>
                  <w:tcW w:w="1043" w:type="pct"/>
                  <w:noWrap w:val="0"/>
                  <w:vAlign w:val="center"/>
                </w:tcPr>
                <w:p w14:paraId="1A2CDD1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钛锆复合物、氟化物、络合剂</w:t>
                  </w:r>
                </w:p>
              </w:tc>
            </w:tr>
            <w:tr w14:paraId="43470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93" w:type="pct"/>
                  <w:vMerge w:val="continue"/>
                  <w:noWrap w:val="0"/>
                  <w:vAlign w:val="center"/>
                </w:tcPr>
                <w:p w14:paraId="5D58761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331" w:type="pct"/>
                  <w:vMerge w:val="continue"/>
                  <w:noWrap w:val="0"/>
                  <w:vAlign w:val="center"/>
                </w:tcPr>
                <w:p w14:paraId="1513127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p>
              </w:tc>
              <w:tc>
                <w:tcPr>
                  <w:tcW w:w="587" w:type="pct"/>
                  <w:noWrap w:val="0"/>
                  <w:vAlign w:val="center"/>
                </w:tcPr>
                <w:p w14:paraId="247AFFF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喷涂工艺标准</w:t>
                  </w:r>
                </w:p>
              </w:tc>
              <w:tc>
                <w:tcPr>
                  <w:tcW w:w="946" w:type="pct"/>
                  <w:noWrap w:val="0"/>
                  <w:vAlign w:val="center"/>
                </w:tcPr>
                <w:p w14:paraId="7FD0EE64">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静电喷塑</w:t>
                  </w:r>
                </w:p>
              </w:tc>
              <w:tc>
                <w:tcPr>
                  <w:tcW w:w="707" w:type="pct"/>
                  <w:noWrap w:val="0"/>
                  <w:vAlign w:val="center"/>
                </w:tcPr>
                <w:p w14:paraId="47F4C02F">
                  <w:pPr>
                    <w:pStyle w:val="28"/>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亚光</w:t>
                  </w:r>
                </w:p>
              </w:tc>
              <w:tc>
                <w:tcPr>
                  <w:tcW w:w="1090" w:type="pct"/>
                  <w:noWrap w:val="0"/>
                  <w:vAlign w:val="center"/>
                </w:tcPr>
                <w:p w14:paraId="399D4E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HG/T2006-2022</w:t>
                  </w:r>
                </w:p>
              </w:tc>
              <w:tc>
                <w:tcPr>
                  <w:tcW w:w="1043" w:type="pct"/>
                  <w:noWrap w:val="0"/>
                  <w:vAlign w:val="center"/>
                </w:tcPr>
                <w:p w14:paraId="3B680DD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color w:val="auto"/>
                      <w:sz w:val="21"/>
                      <w:szCs w:val="21"/>
                      <w:highlight w:val="none"/>
                      <w:lang w:eastAsia="zh-CN"/>
                    </w:rPr>
                  </w:pPr>
                </w:p>
              </w:tc>
            </w:tr>
          </w:tbl>
          <w:p w14:paraId="43591B2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七、制动装置</w:t>
            </w:r>
          </w:p>
          <w:p w14:paraId="21B9BC60">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1、每列均应有刹车制动装置，使之做到每一列均可锁定，查阅、存放档案资料时能确保人身安全，存取更安全。</w:t>
            </w:r>
          </w:p>
          <w:p w14:paraId="212C1365">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2、每一组合团体均应有总锁装置，使之做到每个组合团体都可锁定，门面装有扣拉式方形锁。</w:t>
            </w:r>
          </w:p>
          <w:p w14:paraId="3386015A">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3、每列的接触面均应有缓冲及密封条，顶部应有防尘板，每列架体上方安装防尘压条，底部有防鼠板，合拢后无缝隙，具有良好的防尘、防光、防鼠、防潮等功能。</w:t>
            </w:r>
          </w:p>
          <w:p w14:paraId="49EC2CF7">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▲八、载重性能要求</w:t>
            </w:r>
          </w:p>
          <w:p w14:paraId="31179B33">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1、搁板静载荷：搁板上均布静载荷1000N，放置24h，最大挠度不大于3.0mm，卸载后2h，残余变形量不大于0.2mm。</w:t>
            </w:r>
          </w:p>
          <w:p w14:paraId="4C9B89C0">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2、全静载荷：在每层搁板上加均布静载荷100kg，经24h连续试验卸载后，挂板、搁板、立柱及其结合部位无塑性变形和其他异常现象。</w:t>
            </w:r>
          </w:p>
          <w:p w14:paraId="5A7A0F3D">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3、载重运行：在全静载荷的情况下进行运行试验，架体应运动自如，不得有阻滞现象。手柄摇力应不大于4.0N。</w:t>
            </w:r>
          </w:p>
          <w:p w14:paraId="75DD4CEF">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提供具备CMA、CNAS标志的第三方质量监督检验机构出具的智能密集架抽样检验报告加盖生产厂家公章（注：抽样基数≥350件），</w:t>
            </w:r>
            <w:r>
              <w:rPr>
                <w:rFonts w:hint="eastAsia" w:ascii="宋体" w:hAnsi="宋体" w:eastAsia="宋体" w:cs="宋体"/>
                <w:b w:val="0"/>
                <w:bCs w:val="0"/>
                <w:color w:val="auto"/>
                <w:sz w:val="21"/>
                <w:szCs w:val="21"/>
                <w:highlight w:val="none"/>
                <w:lang w:val="en-US" w:eastAsia="zh-CN"/>
              </w:rPr>
              <w:t>检测依据（包括但不限于）GB/T3325-2024、GB/T13667.4-2013、GB/T35607-2024、GB/T 2650-2022、GB/T13452.4-2008标准要求。</w:t>
            </w:r>
            <w:r>
              <w:rPr>
                <w:rFonts w:hint="eastAsia" w:ascii="宋体" w:hAnsi="宋体" w:eastAsia="宋体" w:cs="宋体"/>
                <w:color w:val="auto"/>
                <w:sz w:val="21"/>
                <w:szCs w:val="21"/>
                <w:highlight w:val="none"/>
                <w:lang w:val="en-US" w:eastAsia="zh-CN"/>
              </w:rPr>
              <w:t>报告带二维码查询</w:t>
            </w:r>
            <w:r>
              <w:rPr>
                <w:rFonts w:hint="eastAsia" w:ascii="宋体" w:hAnsi="宋体" w:eastAsia="宋体" w:cs="宋体"/>
                <w:color w:val="auto"/>
                <w:kern w:val="0"/>
                <w:sz w:val="21"/>
                <w:szCs w:val="21"/>
                <w:highlight w:val="none"/>
                <w:lang w:val="en-US" w:eastAsia="zh-CN"/>
              </w:rPr>
              <w:t>，附检测机构在中国合格评定国家认可委员会网站认可的检测能力范围查询截图，或提供检测标准需包含在检测机构许可范围内的检测资质证书及附件</w:t>
            </w:r>
            <w:r>
              <w:rPr>
                <w:rFonts w:hint="eastAsia" w:ascii="宋体" w:hAnsi="宋体" w:eastAsia="宋体" w:cs="宋体"/>
                <w:color w:val="auto"/>
                <w:sz w:val="21"/>
                <w:szCs w:val="21"/>
                <w:highlight w:val="none"/>
                <w:lang w:val="en-US" w:eastAsia="zh-CN"/>
              </w:rPr>
              <w:t>。</w:t>
            </w:r>
          </w:p>
          <w:p w14:paraId="5FD5A4D3">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九、表面处理要求</w:t>
            </w:r>
          </w:p>
          <w:p w14:paraId="69E4C826">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1、前期处理要求： 采用陶化（硅烷）处理工艺。</w:t>
            </w:r>
          </w:p>
          <w:p w14:paraId="782CFAB6">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2、喷涂工艺要求：涂料要求采用静电粉末喷涂，经 200℃高温固化而成，能明显感觉到金属粉的颗粒感、立体感。</w:t>
            </w:r>
          </w:p>
          <w:p w14:paraId="1C7ACDBF">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2.1、光泽测定：镜面反射率≥60%，测定 400±5。</w:t>
            </w:r>
          </w:p>
          <w:p w14:paraId="7358E59C">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2.2、涂膜硬度：中华牌铅笔≥2H 试验合格。</w:t>
            </w:r>
          </w:p>
          <w:p w14:paraId="04164736">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2.3、耐冲击力：冲击试验 1/2”*500g＞30cm 正面冲击，涂膜无裂纹、皱纹及剥落现象。</w:t>
            </w:r>
          </w:p>
          <w:p w14:paraId="5B522121">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2.4、涂膜厚度：60-70μm。</w:t>
            </w:r>
          </w:p>
          <w:p w14:paraId="5425E7C9">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2.5、涂膜附着力：划格法试验，100%不剥落，达到 2 级标准。</w:t>
            </w:r>
          </w:p>
          <w:p w14:paraId="5995D89B">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▲3、钢板（涂层）</w:t>
            </w:r>
            <w:bookmarkStart w:id="155" w:name="OLE_LINK21"/>
            <w:bookmarkStart w:id="156" w:name="OLE_LINK15"/>
            <w:r>
              <w:rPr>
                <w:rFonts w:hint="eastAsia" w:ascii="宋体" w:hAnsi="宋体" w:eastAsia="宋体" w:cs="宋体"/>
                <w:color w:val="auto"/>
                <w:sz w:val="21"/>
                <w:szCs w:val="21"/>
                <w:highlight w:val="none"/>
                <w:lang w:val="en-US" w:eastAsia="zh-CN"/>
              </w:rPr>
              <w:t>部件各项技术指标依据</w:t>
            </w:r>
            <w:r>
              <w:rPr>
                <w:rFonts w:hint="eastAsia" w:ascii="宋体" w:hAnsi="宋体" w:eastAsia="宋体" w:cs="宋体"/>
                <w:b w:val="0"/>
                <w:bCs w:val="0"/>
                <w:color w:val="auto"/>
                <w:sz w:val="21"/>
                <w:szCs w:val="21"/>
                <w:highlight w:val="none"/>
                <w:lang w:val="en-US" w:eastAsia="zh-CN"/>
              </w:rPr>
              <w:t>（包括但不限于）GB/T 4336-2016、GB/T 700-2006、GB/T 230.1-2018、 GB/T 3325-2024、 GB/T 35607-2024、GB/T 19746-2018</w:t>
            </w:r>
            <w:r>
              <w:rPr>
                <w:rFonts w:hint="eastAsia" w:ascii="宋体" w:hAnsi="宋体" w:eastAsia="宋体" w:cs="宋体"/>
                <w:color w:val="auto"/>
                <w:sz w:val="21"/>
                <w:szCs w:val="21"/>
                <w:highlight w:val="none"/>
                <w:lang w:val="en-US" w:eastAsia="zh-CN"/>
              </w:rPr>
              <w:t>标准要求。</w:t>
            </w:r>
            <w:bookmarkStart w:id="157" w:name="OLE_LINK17"/>
            <w:r>
              <w:rPr>
                <w:rFonts w:hint="eastAsia" w:ascii="宋体" w:hAnsi="宋体" w:eastAsia="宋体" w:cs="宋体"/>
                <w:color w:val="auto"/>
                <w:sz w:val="21"/>
                <w:szCs w:val="21"/>
                <w:highlight w:val="none"/>
                <w:lang w:val="en-US" w:eastAsia="zh-CN"/>
              </w:rPr>
              <w:t>检测内容包含但不限于：</w:t>
            </w:r>
            <w:bookmarkEnd w:id="155"/>
            <w:r>
              <w:rPr>
                <w:rFonts w:hint="eastAsia" w:ascii="宋体" w:hAnsi="宋体" w:eastAsia="宋体" w:cs="宋体"/>
                <w:color w:val="auto"/>
                <w:sz w:val="21"/>
                <w:szCs w:val="21"/>
                <w:highlight w:val="none"/>
                <w:lang w:val="en-US" w:eastAsia="zh-CN"/>
              </w:rPr>
              <w:t>化学成分：C≤0.19%、Si≤0.12%、Mn≤0.34%、P≤0.028%、S≤0.011%、Cr≤0.12%、Ni≤0.08%、Ti≤0.04%、Cu≤0.01%；力学性能：屈服强度≥290N/mm²、抗拉强度≥480N/mm²、断后伸长率≥39%；金属喷漆（塑）涂层理化性能要求：铅笔硬度H,应无塑性变形和/或内聚破坏，冲击高度1000mm，试件表面无剥落、裂纹、皱纹，附着力0级，耐盐浴：划道两侧3mm外,应无鼓泡、锈蚀、剥落和起皱等现象；家具涂层可迁移元素：铅 Pb、镉 Cd、铬 Cr、汞 Hg、锑 Sb、钡 Ba、硒 Se、砷 As检验检测结果均为未检出；盐溶液周浸试验400h：质量损失率≤7.5g/m²。提供具备CMA、CNAS标志的第三方质量监督检验机构出具的钢板（涂层）抽样检验报告并加盖生产厂家公章（注：抽样基数≥2000件），报告带二维码查询</w:t>
            </w:r>
            <w:r>
              <w:rPr>
                <w:rFonts w:hint="eastAsia" w:ascii="宋体" w:hAnsi="宋体" w:eastAsia="宋体" w:cs="宋体"/>
                <w:color w:val="auto"/>
                <w:kern w:val="0"/>
                <w:sz w:val="21"/>
                <w:szCs w:val="21"/>
                <w:highlight w:val="none"/>
                <w:lang w:val="en-US" w:eastAsia="zh-CN"/>
              </w:rPr>
              <w:t>，附检测机构在中国合格评定国家认可委员会网站认可的检测能力范围查询截图，或提供检测标准需包含在检测机构许可范围内的检测资质证书及附件</w:t>
            </w:r>
            <w:r>
              <w:rPr>
                <w:rFonts w:hint="eastAsia" w:ascii="宋体" w:hAnsi="宋体" w:eastAsia="宋体" w:cs="宋体"/>
                <w:color w:val="auto"/>
                <w:sz w:val="21"/>
                <w:szCs w:val="21"/>
                <w:highlight w:val="none"/>
                <w:lang w:val="en-US" w:eastAsia="zh-CN"/>
              </w:rPr>
              <w:t>。</w:t>
            </w:r>
            <w:bookmarkEnd w:id="156"/>
            <w:bookmarkEnd w:id="157"/>
          </w:p>
          <w:p w14:paraId="606B3371">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十、制造要求</w:t>
            </w:r>
          </w:p>
          <w:p w14:paraId="6A5C89B9">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1、凡需焊接的部位应焊接牢固，焊点均匀，焊痕高度≤1mm，焊点间距应控制在100mm以内，焊痕表面波纹平整，不得出现焊焦、焊穿等现象。</w:t>
            </w:r>
          </w:p>
          <w:p w14:paraId="60D3665E">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2、冲压件必须平整无毛刺，不允许有裂痕，冲压尺寸的误差应控制在±2.0mm之内。</w:t>
            </w:r>
          </w:p>
          <w:p w14:paraId="3A2C81A8">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3、折弯必须到位，以确保工件折弯所需角度，其邻边垂直度、平行度控制在≤1.5mm内。</w:t>
            </w:r>
          </w:p>
          <w:p w14:paraId="3663FABD">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4、各零件、组合件表面应光滑平整，不得有尖角凸起；各零件、组合件之间能保持互换性。</w:t>
            </w:r>
          </w:p>
          <w:p w14:paraId="4BEB671F">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▲5、所有标准件及紧固件均需氧化处理。紧固件部件各项技术指标依据（包括但不限于）GB/T4336-2016、GB/T700-2006、GB/T 230.1-2018、GB/T3325-2024、GB/T35607-2024标准要求。</w:t>
            </w:r>
            <w:bookmarkStart w:id="158" w:name="OLE_LINK19"/>
            <w:r>
              <w:rPr>
                <w:rFonts w:hint="eastAsia" w:ascii="宋体" w:hAnsi="宋体" w:eastAsia="宋体" w:cs="宋体"/>
                <w:color w:val="auto"/>
                <w:sz w:val="21"/>
                <w:szCs w:val="21"/>
                <w:highlight w:val="none"/>
                <w:lang w:val="en-US" w:eastAsia="zh-CN"/>
              </w:rPr>
              <w:t>检测内容包含但不限于：化学成分：C≤0.19%、Si≤0.12%、Mn≤0.34%、P≤0.028%、S≤0.011%、Cr≤0.12%、Ni≤0.08%、Ti≤0.04%、Cu≤0.01%；力学性能：屈服强度≥290N/mm²、抗拉强度≥480N/mm²、断后伸长率≥39%；家具涂层可迁移元素：铅 Pb、镉 Cd、铬 Cr、汞 Hg、锑 Sb、钡 Ba、硒 Se、砷 As检验检测结果均为未检出。耐丝状腐蚀400h</w:t>
            </w:r>
            <w:bookmarkStart w:id="159" w:name="OLE_LINK9"/>
            <w:r>
              <w:rPr>
                <w:rFonts w:hint="eastAsia" w:ascii="宋体" w:hAnsi="宋体" w:eastAsia="宋体" w:cs="宋体"/>
                <w:color w:val="auto"/>
                <w:sz w:val="21"/>
                <w:szCs w:val="21"/>
                <w:highlight w:val="none"/>
                <w:lang w:val="en-US" w:eastAsia="zh-CN"/>
              </w:rPr>
              <w:t>：腐蚀程度为轻微。</w:t>
            </w:r>
            <w:bookmarkEnd w:id="159"/>
            <w:r>
              <w:rPr>
                <w:rFonts w:hint="eastAsia" w:ascii="宋体" w:hAnsi="宋体" w:eastAsia="宋体" w:cs="宋体"/>
                <w:color w:val="auto"/>
                <w:sz w:val="21"/>
                <w:szCs w:val="21"/>
                <w:highlight w:val="none"/>
                <w:lang w:val="en-US" w:eastAsia="zh-CN"/>
              </w:rPr>
              <w:t>提供具备CMA、CNAS标志的第三方质量监督检验机构出具的紧固件抽样检验报告加盖生产厂家公章（注：抽样基数≥2000件），报告带二维码查询</w:t>
            </w:r>
            <w:r>
              <w:rPr>
                <w:rFonts w:hint="eastAsia" w:ascii="宋体" w:hAnsi="宋体" w:eastAsia="宋体" w:cs="宋体"/>
                <w:color w:val="auto"/>
                <w:kern w:val="0"/>
                <w:sz w:val="21"/>
                <w:szCs w:val="21"/>
                <w:highlight w:val="none"/>
                <w:lang w:val="en-US" w:eastAsia="zh-CN"/>
              </w:rPr>
              <w:t>，附检测机构在中国合格评定国家认可委员会网站认可的检测能力范围查询截图，或提供检测标准需包含在检测机构许可范围内的检测资质证书及附件</w:t>
            </w:r>
            <w:r>
              <w:rPr>
                <w:rFonts w:hint="eastAsia" w:ascii="宋体" w:hAnsi="宋体" w:eastAsia="宋体" w:cs="宋体"/>
                <w:color w:val="auto"/>
                <w:sz w:val="21"/>
                <w:szCs w:val="21"/>
                <w:highlight w:val="none"/>
                <w:lang w:val="en-US" w:eastAsia="zh-CN"/>
              </w:rPr>
              <w:t>。</w:t>
            </w:r>
            <w:bookmarkEnd w:id="158"/>
          </w:p>
          <w:p w14:paraId="7E8CBFE9">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十一、安装要求</w:t>
            </w:r>
            <w:r>
              <w:rPr>
                <w:rFonts w:hint="eastAsia" w:ascii="宋体" w:hAnsi="宋体" w:eastAsia="宋体" w:cs="宋体"/>
                <w:color w:val="auto"/>
                <w:sz w:val="21"/>
                <w:szCs w:val="21"/>
                <w:highlight w:val="none"/>
                <w:lang w:val="en-US" w:eastAsia="zh-CN"/>
              </w:rPr>
              <w:t xml:space="preserve">   </w:t>
            </w:r>
          </w:p>
          <w:p w14:paraId="1763043A">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1、每标准节组合后外型尺寸（宽、深、高）的极限偏差为±1mm。</w:t>
            </w:r>
          </w:p>
          <w:p w14:paraId="5A59C9D0">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2、防尘门缝间隙应不大于2.0mm。</w:t>
            </w:r>
          </w:p>
          <w:p w14:paraId="66D12B7B">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3、立柱与底梁的垂直度应不大于2mm。</w:t>
            </w:r>
          </w:p>
          <w:p w14:paraId="4692E66E">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4、架列侧面相邻两平面的位差度应不大于5mm。</w:t>
            </w:r>
          </w:p>
          <w:p w14:paraId="04627DA4">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5、导轨对接处高低差应不大于0.3mm。</w:t>
            </w:r>
          </w:p>
          <w:p w14:paraId="6EB23CCF">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6、导轨安装后，单根导轨直线度应不大于1.0mm/m、水平偏差不大于1mm/m。相邻两根导轨宽度之间的平行度偏差不大于1mm/m、 水平高度偏差不大于1mm/m。</w:t>
            </w:r>
          </w:p>
          <w:p w14:paraId="2811F300">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▲十二、其他性能要求 </w:t>
            </w:r>
            <w:r>
              <w:rPr>
                <w:rFonts w:hint="eastAsia" w:ascii="宋体" w:hAnsi="宋体" w:eastAsia="宋体" w:cs="宋体"/>
                <w:color w:val="auto"/>
                <w:sz w:val="21"/>
                <w:szCs w:val="21"/>
                <w:highlight w:val="none"/>
                <w:lang w:val="en-US" w:eastAsia="zh-CN"/>
              </w:rPr>
              <w:t xml:space="preserve">  </w:t>
            </w:r>
          </w:p>
          <w:p w14:paraId="2217008D">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稳定性要求：（1）防尘门打开时的空载稳定性：拉门开到90°，架体不应倾倒。（2）防尘门打开时的加载稳定性：防尘门加载1000N，架体不应倾倒。（3）搁板水平加载稳定性：在中间单元架的最高搁板上施加水平拉力100N，保持1min架体，不应倾倒。</w:t>
            </w:r>
          </w:p>
          <w:p w14:paraId="49FE624F">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2、结构强度要求：标准架列在全静载荷的情况下，沿X 、Y轴两个方向进行水平拉力试验，水平拉力为自重与全静载荷之和的1/15，经连续试验250次后，试验中架体不得发生倾倒现象，试验后架体倾斜量不得大于架体总高的1%，各结构部件应无塑性变形或其他异常现象。</w:t>
            </w:r>
          </w:p>
          <w:p w14:paraId="259AABED">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安全性能要求：（1）电机驱动时，手柄应不被带动。（2）传输电缆应架空，不得缠绕、打结，开启至最大位置时电缆无绷紧现象。（3）列与列之间至少在通道门禁、通道、底开启盘没有挤压保护装置、通过我电保护、压力保护等形式，保护装置应可靠，一经触发，架列移动的距离应不大于10cm，并能自动锁定。重新运行活动架列时，应在触发后被禁止的移动架上手动解锁。（4）每个活动架列均应安装手动安全机械锁，手动安全机械锁锁定时，活动架列应无法运行。    （5）运行速度为0.06～0.15m/s。</w:t>
            </w:r>
          </w:p>
          <w:p w14:paraId="2DA0432C">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4、噪声要求：在电动运行状态下，整体运行时的噪声声压级应不大于36dB。</w:t>
            </w:r>
          </w:p>
          <w:p w14:paraId="0A3A466D">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柜类拉门耐久性：两面各挂质量2kg重物两个，循环次数≥30万次，a）零部件无断裂或豁裂；b）设计为牢固的部件无永久性松动；C）无严重影响使用功能的磨损或变形；d）活动部件的活动灵活；e）主体结构和底架位移小于15mm。</w:t>
            </w:r>
          </w:p>
          <w:p w14:paraId="2581D3AC">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6、耐丝状腐蚀400h：腐蚀程度为轻微。</w:t>
            </w:r>
          </w:p>
          <w:p w14:paraId="6C6D7259">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7.产品环保性能：家具涂层可迁移元素：铅Pb、镉Cd、铬Cr、汞 Hg、锑 Sb、钡 Ba、硒 Se、砷 As检验检测结果均为未检出。产品有害物质甲醛释放量、苯、甲苯、二甲苯、TVOC均未检出。</w:t>
            </w:r>
          </w:p>
          <w:p w14:paraId="2D48285A">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提供具备CMA、CNAS标志的第三方质量监督检验机构出具的智能密集架抽样检验报告加盖生产厂家公章（注：抽样基数≥350件），</w:t>
            </w:r>
            <w:r>
              <w:rPr>
                <w:rFonts w:hint="eastAsia" w:ascii="宋体" w:hAnsi="宋体" w:eastAsia="宋体" w:cs="宋体"/>
                <w:b w:val="0"/>
                <w:bCs w:val="0"/>
                <w:color w:val="auto"/>
                <w:sz w:val="21"/>
                <w:szCs w:val="21"/>
                <w:highlight w:val="none"/>
                <w:lang w:val="en-US" w:eastAsia="zh-CN"/>
              </w:rPr>
              <w:t>检测依据（包括但不限于）GB/T3325-2024、GB/T13667.4-2013、GB/T35607-2024、GB/T 2650-2022、GB/T13452.4-2008标准要求。</w:t>
            </w:r>
            <w:bookmarkStart w:id="160" w:name="OLE_LINK1"/>
            <w:r>
              <w:rPr>
                <w:rFonts w:hint="eastAsia" w:ascii="宋体" w:hAnsi="宋体" w:eastAsia="宋体" w:cs="宋体"/>
                <w:color w:val="auto"/>
                <w:sz w:val="21"/>
                <w:szCs w:val="21"/>
                <w:highlight w:val="none"/>
                <w:lang w:val="en-US" w:eastAsia="zh-CN"/>
              </w:rPr>
              <w:t>报告带二维码查询</w:t>
            </w:r>
            <w:r>
              <w:rPr>
                <w:rFonts w:hint="eastAsia" w:ascii="宋体" w:hAnsi="宋体" w:eastAsia="宋体" w:cs="宋体"/>
                <w:color w:val="auto"/>
                <w:kern w:val="0"/>
                <w:sz w:val="21"/>
                <w:szCs w:val="21"/>
                <w:highlight w:val="none"/>
                <w:lang w:val="en-US" w:eastAsia="zh-CN"/>
              </w:rPr>
              <w:t>，附检测机构在中国合格评定国家认可委员会网站认可的检测能力范围查询截图，或提供检测标准需包含在检测机构许可范围内的检测资质证书及附件</w:t>
            </w:r>
            <w:r>
              <w:rPr>
                <w:rFonts w:hint="eastAsia" w:ascii="宋体" w:hAnsi="宋体" w:eastAsia="宋体" w:cs="宋体"/>
                <w:color w:val="auto"/>
                <w:sz w:val="21"/>
                <w:szCs w:val="21"/>
                <w:highlight w:val="none"/>
                <w:lang w:val="en-US" w:eastAsia="zh-CN"/>
              </w:rPr>
              <w:t>。</w:t>
            </w:r>
            <w:bookmarkEnd w:id="160"/>
          </w:p>
          <w:p w14:paraId="16455D80">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十</w:t>
            </w:r>
            <w:r>
              <w:rPr>
                <w:rFonts w:hint="eastAsia" w:ascii="宋体" w:hAnsi="宋体" w:eastAsia="宋体" w:cs="宋体"/>
                <w:b/>
                <w:bCs/>
                <w:color w:val="auto"/>
                <w:sz w:val="21"/>
                <w:szCs w:val="21"/>
                <w:highlight w:val="none"/>
                <w:lang w:val="en-US" w:eastAsia="zh-CN"/>
              </w:rPr>
              <w:t>三</w:t>
            </w:r>
            <w:r>
              <w:rPr>
                <w:rFonts w:hint="eastAsia" w:ascii="宋体" w:hAnsi="宋体" w:eastAsia="宋体" w:cs="宋体"/>
                <w:b/>
                <w:bCs/>
                <w:color w:val="auto"/>
                <w:sz w:val="21"/>
                <w:szCs w:val="21"/>
                <w:highlight w:val="none"/>
                <w:lang w:eastAsia="zh-CN"/>
              </w:rPr>
              <w:t>、智能密集架系统技术及功能要求</w:t>
            </w:r>
          </w:p>
          <w:p w14:paraId="0D0CF590">
            <w:pPr>
              <w:pStyle w:val="26"/>
              <w:keepNext w:val="0"/>
              <w:keepLines w:val="0"/>
              <w:pageBreakBefore w:val="0"/>
              <w:widowControl w:val="0"/>
              <w:kinsoku/>
              <w:wordWrap/>
              <w:overflowPunct/>
              <w:topLinePunct w:val="0"/>
              <w:autoSpaceDE/>
              <w:autoSpaceDN/>
              <w:bidi w:val="0"/>
              <w:adjustRightInd/>
              <w:snapToGrid/>
              <w:spacing w:before="78"/>
              <w:ind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1、库区架体控制系统</w:t>
            </w:r>
          </w:p>
          <w:p w14:paraId="18E2BB2C">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（1）库区固定列及移动列上的控制系统为满足长期可靠稳定运行及维护的需要，应采用一体嵌入式开发的系统</w:t>
            </w:r>
            <w:bookmarkStart w:id="260" w:name="_GoBack"/>
            <w:bookmarkEnd w:id="260"/>
            <w:r>
              <w:rPr>
                <w:rFonts w:hint="eastAsia" w:ascii="宋体" w:hAnsi="宋体" w:eastAsia="宋体" w:cs="宋体"/>
                <w:color w:val="auto"/>
                <w:sz w:val="21"/>
                <w:szCs w:val="21"/>
                <w:highlight w:val="none"/>
                <w:lang w:eastAsia="zh-CN"/>
              </w:rPr>
              <w:t>。</w:t>
            </w:r>
          </w:p>
          <w:p w14:paraId="71B4601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架体控制系统应可靠、稳定及高效率。系统事务上并不必需任何内置操作系统的支持，操作系统的引入虽可降低供应商的研发投入，但会给用户带来不必要的风险，带来不必要的复杂度及降低系统可靠稳定性等关键指标，如果控制系统中采用了内置操作系统的支持，应采用成熟可靠的嵌入式实时操作系统（如Ucos等）。</w:t>
            </w:r>
          </w:p>
          <w:p w14:paraId="5205B7F1">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（3）应采用工业级设计，尤其是关键的人机操作液晶显示设备器件要求采用工业级。驱动电机为24V低压直流无刷电机。</w:t>
            </w:r>
          </w:p>
          <w:p w14:paraId="30E165F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（4）因红外光会随着时间衰减，所有红外传感器需在空闲不用时自动切断电源以延长使用寿命，并在需要时自动启动。</w:t>
            </w:r>
          </w:p>
          <w:p w14:paraId="0CC3EA5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（5）所有带电的接近开关不得长期开启，在架体静止不动情况下应自动切断电源，以延长使用寿命及提高可靠安全性。</w:t>
            </w:r>
          </w:p>
          <w:p w14:paraId="00C4597F">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（6）所有列的液晶显示设备的背光能在指定空闲时间后自动黑屏，黑屏后点击任意列任意位置后所在团体（单独运动的区域）同步启动。</w:t>
            </w:r>
          </w:p>
          <w:p w14:paraId="03E45756">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（7）合上电源后，所有功能均可在≤3秒正常操作。</w:t>
            </w:r>
          </w:p>
          <w:p w14:paraId="5F03B9F9">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2、操作安全保障</w:t>
            </w:r>
          </w:p>
          <w:p w14:paraId="48662B78">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能准确检测通道内架内人员数量信息，在架内有人时，自动锁定并禁止外面的人手摇及电动操作，架内无人时，自动解锁。架内有人时，该团体所有列屏幕上均有信息指示。架内人员检测应计数准确可靠，用户缓慢进入及快步进入等方式均能可靠计数。</w:t>
            </w:r>
          </w:p>
          <w:p w14:paraId="47A54742">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（2）架内纵向位置具备红外对射传感器，架体运动时，用户自然遮挡红外光束后可自动停止整个团体的运行。架体静止状态下，红外光束应处于关闭状态。</w:t>
            </w:r>
          </w:p>
          <w:p w14:paraId="676AB907">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（3）架内人员计数器及架内红外对射器的保护应独立及互为补充，不得采用二合一或多合一等方式，避免一旦故障全部失效。</w:t>
            </w:r>
          </w:p>
          <w:p w14:paraId="490A4472">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由于任何外部传感器均不能提供100%的可靠性，需具备绝对保障人身防挤压安全的保护机制：不需要用户频繁调整参数，而能自动适应架体负载（空载、满载等任意负载）情况，在架体运动方向的任意位置施加一个20KG以下的轻松力度能可靠停止整个团体的运行。可查看运行电流曲线及各阶段自适应点。</w:t>
            </w:r>
          </w:p>
          <w:p w14:paraId="67564BC1">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（5）运行时，点击该团体任意列液晶屏任意位置均可及时停止运行。通过管理计算机上的软件也可远程停止。</w:t>
            </w:r>
          </w:p>
          <w:p w14:paraId="75E026F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（6）具备用户可调整的运行时间保护功能，以避免插销脱落或脱焊等异常情况下的长时间电机空转。</w:t>
            </w:r>
          </w:p>
          <w:p w14:paraId="4140FD72">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（7）任意列采用2个互为冗余备用的接近开关，任意一个故障可正常运行，液晶屏上用户可查看接近开关状态。</w:t>
            </w:r>
          </w:p>
          <w:p w14:paraId="25D07C0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（8）架体具备位置记忆功能，能自动在最后列移出轨道的一个设定距离（用户可调整）时锁定及保护。</w:t>
            </w:r>
          </w:p>
          <w:p w14:paraId="1ACCDAF7">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（9）用户在任意移动列上进行单列锁定/解锁操作。</w:t>
            </w:r>
          </w:p>
          <w:p w14:paraId="3C7BEADB">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（10）用户可在所有列液晶屏上进行需要密码方式验证的团体锁定/解锁操作。</w:t>
            </w:r>
          </w:p>
          <w:p w14:paraId="697FB0C3">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（11）系统上电或空闲需自检。故障时，应自动禁止电动操作。故障列信息能显示在液晶屏上。</w:t>
            </w:r>
          </w:p>
          <w:p w14:paraId="7C0C9297">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3、人机交互器件要求</w:t>
            </w:r>
          </w:p>
          <w:p w14:paraId="2225475B">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（1）固定列采用≥12寸，分辨率不低于1024*768的彩色触摸液晶屏。</w:t>
            </w:r>
          </w:p>
          <w:p w14:paraId="477C8390">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（2）移动列采用≥8寸，分辨率不低于800*600的彩色触摸液晶屏。</w:t>
            </w:r>
          </w:p>
          <w:p w14:paraId="12BA744F">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4、架体操作要求</w:t>
            </w:r>
          </w:p>
          <w:p w14:paraId="1788D8E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（1）任意列上均可通过液晶屏上的按钮图标对架体进行左右移动、停止、通风的操作。</w:t>
            </w:r>
          </w:p>
          <w:p w14:paraId="37A8911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 （2）架体移动采用快速启动、高速运行、缓降合拢的曲线运行方式，在避免架体碰撞情况下极大提高操作效率。运行的最高速度、最低速度、启动速率、缓降速率均可在任意列液晶屏上调整。即可单列设置，也可团体同步。</w:t>
            </w:r>
          </w:p>
          <w:p w14:paraId="5AC4C186">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移动列上支持全屏手指滑动对架体的简便操作方式：手指左滑，该列左移；手指右滑，该列右移；手指下滑，整个团体关闭；手指上滑，整个团体通风。手指滑动与屏幕按钮互不干扰，即使从按钮上滑动，也只响应滑动而不是按钮效果。手指滑动情况下，屏幕上有直观的辅助方向图标的交互指示。</w:t>
            </w:r>
          </w:p>
          <w:p w14:paraId="2FFB2EFB">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移动列上支持单列移动操作，在系统故障情况下，可指定该列移动设定的距离，在该距离范围内能到位停止（在到位开关失效情况下仍然可操作）。在系统正常情况下的单列运行时，任意列液晶屏上可点击停止运行。单列运行时，可指定曲线运行方式或固定速度方式。</w:t>
            </w:r>
          </w:p>
          <w:p w14:paraId="06008CB1">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（5）带电情况下，无论手摇还是电动，架体打开的距离均在当前列液晶屏上能显示。</w:t>
            </w:r>
          </w:p>
          <w:p w14:paraId="59F43A7C">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5、语音提示</w:t>
            </w:r>
          </w:p>
          <w:p w14:paraId="5ADB1A2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（1）每个团体上均具备独立的高品质语音模块。</w:t>
            </w:r>
          </w:p>
          <w:p w14:paraId="37C3A2D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高品质语音提示模块可放置在任意列位置，以最大效果提供语音提示交互。具备高清女声提示功能，用户可对音量、语速、语调进行数字调整。用户可在任意列液晶屏上对该团体语音提示模块随时修改定制提示音功能：用户可任意指定架体称呼（如：密集柜等）及物品称呼（如：档案盒），用户可任意修改库房内电动操作（打开及关闭）的语音提示文字（如：第**列人事架体本地开架）及管理软件上远程操作（打开及关闭）的提示语音文字（如：第**列人事架体远程开架）。</w:t>
            </w:r>
          </w:p>
          <w:p w14:paraId="5899470A">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（3）远程开架时，用户进入架体内，自动播报档案存放位置及档案编号的提示信息。</w:t>
            </w:r>
          </w:p>
          <w:p w14:paraId="1AAC5376">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6、电子标牌</w:t>
            </w:r>
          </w:p>
          <w:p w14:paraId="4DB72642">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（1）电子标牌应在主界面上显示。</w:t>
            </w:r>
          </w:p>
          <w:p w14:paraId="58FBE41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（2）任意列液晶显示设备上能直接查看该列存放的档案类型的电子标牌，从而可完全取代传统的纸质标插方式。</w:t>
            </w:r>
          </w:p>
          <w:p w14:paraId="10C8B95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（3）液晶显示设备上的电子标牌区域可点击后全屏显示。点击操作与滑动操作可重叠互不干扰。</w:t>
            </w:r>
          </w:p>
          <w:p w14:paraId="111AC6AA">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（4）电子标牌的文字内容录入可在任意列液晶显示设备或管理平台软件上进行。</w:t>
            </w:r>
          </w:p>
          <w:p w14:paraId="12D3EF27">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（5）固定列屏上支持拼音输入法及手写输入法方式录入，录入时自动联想最近输入的词及常用词。</w:t>
            </w:r>
          </w:p>
          <w:p w14:paraId="4518145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7、公告栏</w:t>
            </w:r>
          </w:p>
          <w:p w14:paraId="0A848E1C">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1、任意列液晶显示设备应在主界面上显示公告栏信息。</w:t>
            </w:r>
          </w:p>
          <w:p w14:paraId="378D982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（1）公告栏上的电子标牌区域可点击后全屏显示。点击操作与滑动操作可重叠互不干扰。</w:t>
            </w:r>
          </w:p>
          <w:p w14:paraId="2A21F95A">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（2）公告栏的文字内容录入可在任意列液晶显示设备上进行。</w:t>
            </w:r>
          </w:p>
          <w:p w14:paraId="6F21086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（3）移动列上的公告栏在架体打开及自动关闭功能启动情况下，自动切换显示倒计时的自动关闭预计时间信息。</w:t>
            </w:r>
          </w:p>
          <w:p w14:paraId="700E662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（4）移动列上的公告栏在单列锁定情况下，自动切换去显示单列锁定的信息。</w:t>
            </w:r>
          </w:p>
          <w:p w14:paraId="51CAFD6F">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（5）固定列屏上支持拼音输入法及手写输入法方式录入，录入时自动联想最近输入的词及常用词。</w:t>
            </w:r>
          </w:p>
          <w:p w14:paraId="6CFA5E2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8、自定义区域（团体）信息</w:t>
            </w:r>
          </w:p>
          <w:p w14:paraId="29C4D60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（1）任意列液晶显示设备应在主界面上显示该团体的自定义区域信息，如：三楼财务档案区，2018年卷宗档案区，等等。</w:t>
            </w:r>
          </w:p>
          <w:p w14:paraId="5F84D432">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（2）自定义区域（团体）信息区域可点击后全屏显示。点击操作与滑动操作可重叠互不干扰。</w:t>
            </w:r>
          </w:p>
          <w:p w14:paraId="0D6BD4A5">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（3）自定义区域（团体）信息的文字内容录入可在任意列液晶显示设备上进行。</w:t>
            </w:r>
          </w:p>
          <w:p w14:paraId="606ECE89">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（4）固定列屏上支持拼音输入法及手写输入法方式录入，录入时自动联想最近输入的词及常用词。</w:t>
            </w:r>
          </w:p>
          <w:p w14:paraId="589D6D77">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9、屏幕列号显示样式调整</w:t>
            </w:r>
          </w:p>
          <w:p w14:paraId="248B5A26">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（1）任意列液晶屏上显示的当前列号可以调整显示位置（能全屏位置调整，具备指定坐标及当前位置偏移等多种方式的调整）、字体大小及颜色。</w:t>
            </w:r>
          </w:p>
          <w:p w14:paraId="6D3A2F6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（2）任意列液晶屏上均可以调整当前列及团体同步设置。</w:t>
            </w:r>
          </w:p>
          <w:p w14:paraId="477DD847">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10、架体存放信息查看</w:t>
            </w:r>
          </w:p>
          <w:p w14:paraId="16DACD71">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（1）任意列上的液晶屏显示该列存放的档案数量及借出数量信息，并能分开显示左右侧存放的数量信息。</w:t>
            </w:r>
          </w:p>
          <w:p w14:paraId="126A6F8F">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（2）在任意列上的液晶屏上可图形化查看左右侧每个格位的存放、在库、借出数量信息。</w:t>
            </w:r>
          </w:p>
          <w:p w14:paraId="780249F7">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（3）点击具体格位可分别查看该格位上的存放、在库、借出的具体到最小管理单位的编号、名称等更详细的档案信息。</w:t>
            </w:r>
          </w:p>
          <w:p w14:paraId="4312C4B0">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11、档案查找及远程开架</w:t>
            </w:r>
          </w:p>
          <w:p w14:paraId="41E294C7">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（1）任意列液晶屏上可用关键词或编号方式查找档案。</w:t>
            </w:r>
          </w:p>
          <w:p w14:paraId="18D602D5">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（2）查找到的档案可直接开架。</w:t>
            </w:r>
          </w:p>
          <w:p w14:paraId="4D93D6EC">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（3）远程开架的位置能用动态图标等直观方式定位，用户进入架体后能语音播报位置及编号等信息。</w:t>
            </w:r>
          </w:p>
          <w:p w14:paraId="0E45A30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12、批量任务执行</w:t>
            </w:r>
          </w:p>
          <w:p w14:paraId="08DA9F35">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支持批量任务的实现，用户可一次性发送多个任务（支持不少于200个任务）到库区，在任意列液晶屏上可查看任务，加载并查看任务，从而能执行批量任务的依次开架操作。任意列液晶屏上可显示任务数量及任务信息（待执行，已执行，档案编号等），用户可在任意列液晶屏上对任意指定任务选定执行开架操作及能在开架所在列显示存放档案的位置等信息。</w:t>
            </w:r>
          </w:p>
          <w:p w14:paraId="0A06363C">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13、架内照明</w:t>
            </w:r>
          </w:p>
          <w:p w14:paraId="4BC57335">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color w:val="auto"/>
                <w:sz w:val="21"/>
                <w:szCs w:val="21"/>
                <w:highlight w:val="none"/>
                <w:lang w:eastAsia="zh-CN"/>
              </w:rPr>
              <w:t>（1）采用24V低压高亮LED灯辅助架内照明。LED灯具各项技术指标依据</w:t>
            </w:r>
            <w:r>
              <w:rPr>
                <w:rFonts w:hint="eastAsia" w:ascii="宋体" w:hAnsi="宋体" w:eastAsia="宋体" w:cs="宋体"/>
                <w:color w:val="auto"/>
                <w:sz w:val="21"/>
                <w:szCs w:val="21"/>
                <w:highlight w:val="none"/>
                <w:lang w:val="en-US" w:eastAsia="zh-CN"/>
              </w:rPr>
              <w:t>（包括但不限于）GB/T 31897.201-2016、GB/T 2423.3-2016、GB/T 33721-2017</w:t>
            </w:r>
            <w:r>
              <w:rPr>
                <w:rFonts w:hint="eastAsia" w:ascii="宋体" w:hAnsi="宋体" w:eastAsia="宋体" w:cs="宋体"/>
                <w:color w:val="auto"/>
                <w:sz w:val="21"/>
                <w:szCs w:val="21"/>
                <w:highlight w:val="none"/>
                <w:lang w:eastAsia="zh-CN"/>
              </w:rPr>
              <w:t>标准要求，检测内容包括但不限于：标称寿命≥50000h, 开关试验次数≥25000次，开关试验结束后，在不少于15min 的时间内，所有的LED灯具可以正常工作，且光通量维持在宣称光通维持率代码范围内：光通量≥390lm, 光通维持率≥99%。1000h温度85℃/湿度85RH% 恒定湿热试验符合试验标准要求。投标人或制造商提供具备CMA、CNAS标志的第三方质量监督检验机构出具的LED灯具检验报告加盖公章。</w:t>
            </w:r>
            <w:r>
              <w:rPr>
                <w:rFonts w:hint="eastAsia" w:ascii="宋体" w:hAnsi="宋体" w:eastAsia="宋体" w:cs="宋体"/>
                <w:color w:val="auto"/>
                <w:sz w:val="21"/>
                <w:szCs w:val="21"/>
                <w:highlight w:val="none"/>
                <w:lang w:val="en-US" w:eastAsia="zh-CN"/>
              </w:rPr>
              <w:t>报告带二维码查询</w:t>
            </w:r>
            <w:r>
              <w:rPr>
                <w:rFonts w:hint="eastAsia" w:ascii="宋体" w:hAnsi="宋体" w:eastAsia="宋体" w:cs="宋体"/>
                <w:color w:val="auto"/>
                <w:kern w:val="0"/>
                <w:sz w:val="21"/>
                <w:szCs w:val="21"/>
                <w:highlight w:val="none"/>
                <w:lang w:val="en-US" w:eastAsia="zh-CN"/>
              </w:rPr>
              <w:t>，附检测机构在中国合格评定国家认可委员会网站认可的检测能力范围查询截图，或提供检测标准需包含在检测机构许可范围内的检测资质证书及附件</w:t>
            </w:r>
            <w:r>
              <w:rPr>
                <w:rFonts w:hint="eastAsia" w:ascii="宋体" w:hAnsi="宋体" w:eastAsia="宋体" w:cs="宋体"/>
                <w:color w:val="auto"/>
                <w:sz w:val="21"/>
                <w:szCs w:val="21"/>
                <w:highlight w:val="none"/>
                <w:lang w:val="en-US" w:eastAsia="zh-CN"/>
              </w:rPr>
              <w:t>。</w:t>
            </w:r>
          </w:p>
          <w:p w14:paraId="7D16F98C">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（2）通道开启时自动开启照明，通道合拢时自动熄灭。</w:t>
            </w:r>
          </w:p>
          <w:p w14:paraId="65D7A21A">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（3）人员进入到架内自动开启，人员离开时延时熄灭，延时时间用户可在任意列液晶屏上设置。</w:t>
            </w:r>
          </w:p>
          <w:p w14:paraId="51CCA785">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（4）用户可在任意列上控制架内照明的开关。</w:t>
            </w:r>
          </w:p>
          <w:p w14:paraId="6A8985F8">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14、管理设置</w:t>
            </w:r>
          </w:p>
          <w:p w14:paraId="156CB0D6">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（1）用户可在任意列液晶屏上进行架体曲线运行的最高速度、最低速度、启动速率、缓降速率进行设置。</w:t>
            </w:r>
          </w:p>
          <w:p w14:paraId="1872988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（2）用户可在任意列液晶屏上对防挤压参数进行设置。</w:t>
            </w:r>
          </w:p>
          <w:p w14:paraId="6C21D0E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（3）用户可在任意列液晶屏上对电子标牌信息、公告栏信息、自定义区域（团体）信息进行设置。</w:t>
            </w:r>
          </w:p>
          <w:p w14:paraId="18DA0F0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（4）用户可在任意列液晶屏上对语音提示模块进行设置。</w:t>
            </w:r>
          </w:p>
          <w:p w14:paraId="0B121E8D">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（5）用户可在任意列液晶屏上进行密码修改操作。</w:t>
            </w:r>
          </w:p>
          <w:p w14:paraId="20A41465">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（6）用户可在任意列液晶屏上设置架内照明延时熄灭时间。</w:t>
            </w:r>
          </w:p>
          <w:p w14:paraId="77BB3DC3">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（7）用户可调整空闲自动黑屏时间、空闲无人自动关闭时间、列号显示亮度、当前时钟。</w:t>
            </w:r>
          </w:p>
          <w:p w14:paraId="23890D0F">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15、自动关闭</w:t>
            </w:r>
          </w:p>
          <w:p w14:paraId="53A54D6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（1）架体平时保持关闭状态不仅美观，而且安全。用户可设定空闲无人自动关闭时间以激活该功能。</w:t>
            </w:r>
          </w:p>
          <w:p w14:paraId="51203962">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（2）功能激活及架体打开情况下，预计的自动关闭时间全团体同步以精确到分钟的倒计时方式显示在该团体所有列液晶屏上。</w:t>
            </w:r>
          </w:p>
          <w:p w14:paraId="67D09DBC">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（3）架内有人、锁定或架体操作等情况下，时间自动清零重新计数。</w:t>
            </w:r>
          </w:p>
          <w:p w14:paraId="5F21BC13">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16、温湿度显示</w:t>
            </w:r>
          </w:p>
          <w:p w14:paraId="0F4C0F6A">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（1）可设置温湿度共享的位置。</w:t>
            </w:r>
          </w:p>
          <w:p w14:paraId="69D36B75">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（2）如果本身具备温湿度显示模块，可设置温湿度更新速率。</w:t>
            </w:r>
          </w:p>
          <w:p w14:paraId="4D0606D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17、维护帮助</w:t>
            </w:r>
          </w:p>
          <w:p w14:paraId="21A3054F">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（1）系统故障情况下，用户可切换到单列移动操作（可设定运行距离及运行方式：曲线或固定速度）。</w:t>
            </w:r>
          </w:p>
          <w:p w14:paraId="5ABE8E51">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（2）保存最近≥64条管理员设置记录。</w:t>
            </w:r>
          </w:p>
          <w:p w14:paraId="75F3A41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（3）保存不低于15天的用户操作记录，用户对架体的移动操作、手摇操作均记录在案。记录需包含操作时间及操作的列号。</w:t>
            </w:r>
          </w:p>
          <w:p w14:paraId="175BBDAA">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（4）移动列上可查看该列所有传感器状态。</w:t>
            </w:r>
          </w:p>
          <w:p w14:paraId="1CA2A745">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可在固定列上通过发送若干数量的探测包及应答来判断固定列与活动列间的通讯质量及故障点（无响应点）位置。也可以通过指定监听时间内的信息，来判断固定列到移动列间或固定列到管理计算机间的线路是否受到干扰。</w:t>
            </w:r>
          </w:p>
          <w:p w14:paraId="45125ADB">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18、管理软件与接口</w:t>
            </w:r>
          </w:p>
          <w:p w14:paraId="1A9C7C5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（1）软件可管理上百区的智能密集架，架体监控画面可自由缩放，实时显示架体移动状态，需要操控架体时，系统自动弹出架体控制面板的模拟画面，实现与在架体上操作相同的控制体验。</w:t>
            </w:r>
          </w:p>
          <w:p w14:paraId="69A453B8">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（2）模拟真实的架体结构，绘制档案存放分布图。直观显示每个单元格当前容积率，以及档案的在库外借状况。</w:t>
            </w:r>
          </w:p>
          <w:p w14:paraId="2A0DCE45">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可自定义档案库条目：在系统设置中提供表格模式的档案模板设计器，支持两级模板管理，可以根据实际情况建立多个不同格式的档案库，用户只需简单定义好各档案库中条目的相关属性，系统会自动生成功能代码的操作界面。条目可指定数据类型，同时可设定数据格式。通过设置数据格式，可将条目关联到数据字典，或使条目的数据进行格式化显示。</w:t>
            </w:r>
          </w:p>
          <w:p w14:paraId="5D002522">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（4）可自定义多条件组合式查询、排序：可根据设定组合出无限多种查询和排序条件，并可保存。</w:t>
            </w:r>
          </w:p>
          <w:p w14:paraId="54F1FE73">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（5）可自定义条目在表格中的外观，包括：条目是否可见、条目所处位置、条目宽度等。</w:t>
            </w:r>
          </w:p>
          <w:p w14:paraId="6F466456">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（6）自定义条目统计功能，在档案查询和档案利用报表中，数字型条目可自动统计。</w:t>
            </w:r>
          </w:p>
          <w:p w14:paraId="61E43F9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（7）数据字典免维护功能：不需要一次性输入数据字典中的所有成员，可以在录入数据或修改数据时，即时添加新的字典成员，提高档案录入效率。</w:t>
            </w:r>
          </w:p>
          <w:p w14:paraId="7039C6A2">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（8）在进行档案归还时，在快速查找输入框中，输入或扫描档案编号，系统会自动跳转到档案归还页面，同时在归还清单中显示此档案。</w:t>
            </w:r>
          </w:p>
          <w:p w14:paraId="58CE70D4">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（9）可随时修改区、列、节、层的显示名称，修改后数据库中已有档案的位置会自动同步成新的位置，方便老档案馆重新规划。</w:t>
            </w:r>
          </w:p>
          <w:p w14:paraId="5E821CF1">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（10）只需输入档案名称的拼音首字母，就可以实现跨库检索功能。</w:t>
            </w:r>
          </w:p>
          <w:p w14:paraId="10A38ECF">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（11）提供仿Excel的档案录入界面，批量录入档案更轻松。</w:t>
            </w:r>
          </w:p>
          <w:p w14:paraId="66C1EB3E">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十</w:t>
            </w:r>
            <w:r>
              <w:rPr>
                <w:rFonts w:hint="eastAsia" w:ascii="宋体" w:hAnsi="宋体" w:eastAsia="宋体" w:cs="宋体"/>
                <w:b/>
                <w:bCs/>
                <w:color w:val="auto"/>
                <w:sz w:val="21"/>
                <w:szCs w:val="21"/>
                <w:highlight w:val="none"/>
                <w:lang w:val="en-US" w:eastAsia="zh-CN"/>
              </w:rPr>
              <w:t>四</w:t>
            </w:r>
            <w:r>
              <w:rPr>
                <w:rFonts w:hint="eastAsia" w:ascii="宋体" w:hAnsi="宋体" w:eastAsia="宋体" w:cs="宋体"/>
                <w:b/>
                <w:bCs/>
                <w:color w:val="auto"/>
                <w:sz w:val="21"/>
                <w:szCs w:val="21"/>
                <w:highlight w:val="none"/>
                <w:lang w:eastAsia="zh-CN"/>
              </w:rPr>
              <w:t>、产品主要部件配置要求</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2515"/>
              <w:gridCol w:w="3373"/>
              <w:gridCol w:w="935"/>
            </w:tblGrid>
            <w:tr w14:paraId="16040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noWrap w:val="0"/>
                  <w:vAlign w:val="center"/>
                </w:tcPr>
                <w:p w14:paraId="1468FDA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706" w:type="pct"/>
                  <w:noWrap w:val="0"/>
                  <w:vAlign w:val="center"/>
                </w:tcPr>
                <w:p w14:paraId="0152555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部件名称</w:t>
                  </w:r>
                </w:p>
              </w:tc>
              <w:tc>
                <w:tcPr>
                  <w:tcW w:w="2288" w:type="pct"/>
                  <w:noWrap w:val="0"/>
                  <w:vAlign w:val="center"/>
                </w:tcPr>
                <w:p w14:paraId="25A7F66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w:t>
                  </w:r>
                </w:p>
              </w:tc>
              <w:tc>
                <w:tcPr>
                  <w:tcW w:w="634" w:type="pct"/>
                  <w:noWrap w:val="0"/>
                  <w:vAlign w:val="center"/>
                </w:tcPr>
                <w:p w14:paraId="739F514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5E53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noWrap w:val="0"/>
                  <w:vAlign w:val="center"/>
                </w:tcPr>
                <w:p w14:paraId="19BC49A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706" w:type="pct"/>
                  <w:noWrap w:val="0"/>
                  <w:vAlign w:val="center"/>
                </w:tcPr>
                <w:p w14:paraId="00C92D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无刷直流电动机</w:t>
                  </w:r>
                </w:p>
              </w:tc>
              <w:tc>
                <w:tcPr>
                  <w:tcW w:w="2288" w:type="pct"/>
                  <w:noWrap w:val="0"/>
                  <w:vAlign w:val="center"/>
                </w:tcPr>
                <w:p w14:paraId="14F3F6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24V，≤150W</w:t>
                  </w:r>
                </w:p>
              </w:tc>
              <w:tc>
                <w:tcPr>
                  <w:tcW w:w="634" w:type="pct"/>
                  <w:noWrap w:val="0"/>
                  <w:vAlign w:val="center"/>
                </w:tcPr>
                <w:p w14:paraId="4E96DF8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活动列</w:t>
                  </w:r>
                </w:p>
              </w:tc>
            </w:tr>
            <w:tr w14:paraId="0406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noWrap w:val="0"/>
                  <w:vAlign w:val="center"/>
                </w:tcPr>
                <w:p w14:paraId="6938999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706" w:type="pct"/>
                  <w:noWrap w:val="0"/>
                  <w:vAlign w:val="center"/>
                </w:tcPr>
                <w:p w14:paraId="431D39E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固定列控制板</w:t>
                  </w:r>
                </w:p>
              </w:tc>
              <w:tc>
                <w:tcPr>
                  <w:tcW w:w="2288" w:type="pct"/>
                  <w:noWrap w:val="0"/>
                  <w:vAlign w:val="center"/>
                </w:tcPr>
                <w:p w14:paraId="4C26FB2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嵌入式设计，上电启动时间≤3秒</w:t>
                  </w:r>
                </w:p>
              </w:tc>
              <w:tc>
                <w:tcPr>
                  <w:tcW w:w="634" w:type="pct"/>
                  <w:noWrap w:val="0"/>
                  <w:vAlign w:val="center"/>
                </w:tcPr>
                <w:p w14:paraId="620CF88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1/固定列</w:t>
                  </w:r>
                </w:p>
              </w:tc>
            </w:tr>
            <w:tr w14:paraId="3CDD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noWrap w:val="0"/>
                  <w:vAlign w:val="center"/>
                </w:tcPr>
                <w:p w14:paraId="654FF25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706" w:type="pct"/>
                  <w:noWrap w:val="0"/>
                  <w:vAlign w:val="center"/>
                </w:tcPr>
                <w:p w14:paraId="7FAA333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活动列</w:t>
                  </w:r>
                  <w:r>
                    <w:rPr>
                      <w:rFonts w:hint="eastAsia" w:ascii="宋体" w:hAnsi="宋体" w:eastAsia="宋体" w:cs="宋体"/>
                      <w:color w:val="auto"/>
                      <w:sz w:val="21"/>
                      <w:szCs w:val="21"/>
                      <w:highlight w:val="none"/>
                    </w:rPr>
                    <w:t>控制板</w:t>
                  </w:r>
                </w:p>
              </w:tc>
              <w:tc>
                <w:tcPr>
                  <w:tcW w:w="2288" w:type="pct"/>
                  <w:noWrap w:val="0"/>
                  <w:vAlign w:val="center"/>
                </w:tcPr>
                <w:p w14:paraId="3CA68F5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嵌入式设计，上电启动时间≤3秒，内置电机驱动</w:t>
                  </w:r>
                </w:p>
              </w:tc>
              <w:tc>
                <w:tcPr>
                  <w:tcW w:w="634" w:type="pct"/>
                  <w:noWrap w:val="0"/>
                  <w:vAlign w:val="center"/>
                </w:tcPr>
                <w:p w14:paraId="11A876A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活动列</w:t>
                  </w:r>
                </w:p>
              </w:tc>
            </w:tr>
            <w:tr w14:paraId="10900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70" w:type="pct"/>
                  <w:noWrap w:val="0"/>
                  <w:vAlign w:val="center"/>
                </w:tcPr>
                <w:p w14:paraId="7769DD6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706" w:type="pct"/>
                  <w:noWrap w:val="0"/>
                  <w:vAlign w:val="center"/>
                </w:tcPr>
                <w:p w14:paraId="52883F3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独立语音提示板</w:t>
                  </w:r>
                </w:p>
              </w:tc>
              <w:tc>
                <w:tcPr>
                  <w:tcW w:w="2288" w:type="pct"/>
                  <w:noWrap w:val="0"/>
                  <w:vAlign w:val="center"/>
                </w:tcPr>
                <w:p w14:paraId="221EF20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嵌入式设计</w:t>
                  </w:r>
                </w:p>
              </w:tc>
              <w:tc>
                <w:tcPr>
                  <w:tcW w:w="634" w:type="pct"/>
                  <w:noWrap w:val="0"/>
                  <w:vAlign w:val="center"/>
                </w:tcPr>
                <w:p w14:paraId="22BEC03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1/团体</w:t>
                  </w:r>
                </w:p>
              </w:tc>
            </w:tr>
            <w:tr w14:paraId="10BE3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70" w:type="pct"/>
                  <w:noWrap w:val="0"/>
                  <w:vAlign w:val="center"/>
                </w:tcPr>
                <w:p w14:paraId="64C2429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706" w:type="pct"/>
                  <w:noWrap w:val="0"/>
                  <w:vAlign w:val="center"/>
                </w:tcPr>
                <w:p w14:paraId="3B94E45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开关电源</w:t>
                  </w:r>
                </w:p>
              </w:tc>
              <w:tc>
                <w:tcPr>
                  <w:tcW w:w="2288" w:type="pct"/>
                  <w:noWrap w:val="0"/>
                  <w:vAlign w:val="center"/>
                </w:tcPr>
                <w:p w14:paraId="7C5F9DE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24V，≥150W</w:t>
                  </w:r>
                </w:p>
              </w:tc>
              <w:tc>
                <w:tcPr>
                  <w:tcW w:w="634" w:type="pct"/>
                  <w:noWrap w:val="0"/>
                  <w:vAlign w:val="center"/>
                </w:tcPr>
                <w:p w14:paraId="6D11F2B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1/列</w:t>
                  </w:r>
                </w:p>
              </w:tc>
            </w:tr>
            <w:tr w14:paraId="73A08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70" w:type="pct"/>
                  <w:noWrap w:val="0"/>
                  <w:vAlign w:val="center"/>
                </w:tcPr>
                <w:p w14:paraId="104F903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706" w:type="pct"/>
                  <w:noWrap w:val="0"/>
                  <w:vAlign w:val="center"/>
                </w:tcPr>
                <w:p w14:paraId="0499912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接近开关</w:t>
                  </w:r>
                </w:p>
              </w:tc>
              <w:tc>
                <w:tcPr>
                  <w:tcW w:w="2288" w:type="pct"/>
                  <w:noWrap w:val="0"/>
                  <w:vAlign w:val="center"/>
                </w:tcPr>
                <w:p w14:paraId="5E5622B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磁感应</w:t>
                  </w:r>
                </w:p>
              </w:tc>
              <w:tc>
                <w:tcPr>
                  <w:tcW w:w="634" w:type="pct"/>
                  <w:noWrap w:val="0"/>
                  <w:vAlign w:val="center"/>
                </w:tcPr>
                <w:p w14:paraId="7164671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活动列</w:t>
                  </w:r>
                </w:p>
              </w:tc>
            </w:tr>
            <w:tr w14:paraId="271B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70" w:type="pct"/>
                  <w:noWrap w:val="0"/>
                  <w:vAlign w:val="center"/>
                </w:tcPr>
                <w:p w14:paraId="03BC071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1706" w:type="pct"/>
                  <w:noWrap w:val="0"/>
                  <w:vAlign w:val="center"/>
                </w:tcPr>
                <w:p w14:paraId="2B17A6F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架内照明</w:t>
                  </w:r>
                </w:p>
              </w:tc>
              <w:tc>
                <w:tcPr>
                  <w:tcW w:w="2288" w:type="pct"/>
                  <w:noWrap w:val="0"/>
                  <w:vAlign w:val="center"/>
                </w:tcPr>
                <w:p w14:paraId="70C6A42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24V，高亮LED</w:t>
                  </w:r>
                </w:p>
              </w:tc>
              <w:tc>
                <w:tcPr>
                  <w:tcW w:w="634" w:type="pct"/>
                  <w:noWrap w:val="0"/>
                  <w:vAlign w:val="center"/>
                </w:tcPr>
                <w:p w14:paraId="0BF7DD8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活动列</w:t>
                  </w:r>
                </w:p>
              </w:tc>
            </w:tr>
            <w:tr w14:paraId="4877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70" w:type="pct"/>
                  <w:noWrap w:val="0"/>
                  <w:vAlign w:val="center"/>
                </w:tcPr>
                <w:p w14:paraId="03E4A6E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1706" w:type="pct"/>
                  <w:noWrap w:val="0"/>
                  <w:vAlign w:val="center"/>
                </w:tcPr>
                <w:p w14:paraId="5F230FA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固定列彩色触摸显示屏</w:t>
                  </w:r>
                </w:p>
              </w:tc>
              <w:tc>
                <w:tcPr>
                  <w:tcW w:w="2288" w:type="pct"/>
                  <w:noWrap w:val="0"/>
                  <w:vAlign w:val="center"/>
                </w:tcPr>
                <w:p w14:paraId="05FBF52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≥12吋，分辨率≥1024*768dpi的彩色触摸屏</w:t>
                  </w:r>
                </w:p>
              </w:tc>
              <w:tc>
                <w:tcPr>
                  <w:tcW w:w="634" w:type="pct"/>
                  <w:noWrap w:val="0"/>
                  <w:vAlign w:val="center"/>
                </w:tcPr>
                <w:p w14:paraId="469AC05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1/固定列</w:t>
                  </w:r>
                </w:p>
              </w:tc>
            </w:tr>
            <w:tr w14:paraId="1F99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70" w:type="pct"/>
                  <w:noWrap w:val="0"/>
                  <w:vAlign w:val="center"/>
                </w:tcPr>
                <w:p w14:paraId="20212EA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1706" w:type="pct"/>
                  <w:noWrap w:val="0"/>
                  <w:vAlign w:val="center"/>
                </w:tcPr>
                <w:p w14:paraId="32CF0F3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活动列彩色触摸显示屏</w:t>
                  </w:r>
                </w:p>
              </w:tc>
              <w:tc>
                <w:tcPr>
                  <w:tcW w:w="2288" w:type="pct"/>
                  <w:noWrap w:val="0"/>
                  <w:vAlign w:val="center"/>
                </w:tcPr>
                <w:p w14:paraId="6DD4967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≥8吋，分辨率≥</w:t>
                  </w:r>
                  <w:r>
                    <w:rPr>
                      <w:rFonts w:hint="eastAsia" w:ascii="宋体" w:hAnsi="宋体" w:eastAsia="宋体" w:cs="宋体"/>
                      <w:color w:val="auto"/>
                      <w:sz w:val="21"/>
                      <w:szCs w:val="21"/>
                      <w:highlight w:val="none"/>
                      <w:lang w:val="en-US" w:eastAsia="zh-CN"/>
                    </w:rPr>
                    <w:t>800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600</w:t>
                  </w:r>
                  <w:r>
                    <w:rPr>
                      <w:rFonts w:hint="eastAsia" w:ascii="宋体" w:hAnsi="宋体" w:eastAsia="宋体" w:cs="宋体"/>
                      <w:color w:val="auto"/>
                      <w:sz w:val="21"/>
                      <w:szCs w:val="21"/>
                      <w:highlight w:val="none"/>
                    </w:rPr>
                    <w:t>dpi的彩色触摸屏</w:t>
                  </w:r>
                </w:p>
              </w:tc>
              <w:tc>
                <w:tcPr>
                  <w:tcW w:w="634" w:type="pct"/>
                  <w:noWrap w:val="0"/>
                  <w:vAlign w:val="center"/>
                </w:tcPr>
                <w:p w14:paraId="003A6FD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活动列</w:t>
                  </w:r>
                </w:p>
              </w:tc>
            </w:tr>
            <w:tr w14:paraId="24358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70" w:type="pct"/>
                  <w:noWrap w:val="0"/>
                  <w:vAlign w:val="center"/>
                </w:tcPr>
                <w:p w14:paraId="0823186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706" w:type="pct"/>
                  <w:noWrap w:val="0"/>
                  <w:vAlign w:val="center"/>
                </w:tcPr>
                <w:p w14:paraId="57ACAAE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架内红外人员计数器</w:t>
                  </w:r>
                </w:p>
              </w:tc>
              <w:tc>
                <w:tcPr>
                  <w:tcW w:w="2288" w:type="pct"/>
                  <w:noWrap w:val="0"/>
                  <w:vAlign w:val="center"/>
                </w:tcPr>
                <w:p w14:paraId="4BDE2EC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空闲自动切断红外光</w:t>
                  </w:r>
                </w:p>
              </w:tc>
              <w:tc>
                <w:tcPr>
                  <w:tcW w:w="634" w:type="pct"/>
                  <w:noWrap w:val="0"/>
                  <w:vAlign w:val="center"/>
                </w:tcPr>
                <w:p w14:paraId="593F272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活动列</w:t>
                  </w:r>
                </w:p>
              </w:tc>
            </w:tr>
            <w:tr w14:paraId="4522E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70" w:type="pct"/>
                  <w:noWrap w:val="0"/>
                  <w:vAlign w:val="center"/>
                </w:tcPr>
                <w:p w14:paraId="6ED2AFD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706" w:type="pct"/>
                  <w:noWrap w:val="0"/>
                  <w:vAlign w:val="center"/>
                </w:tcPr>
                <w:p w14:paraId="73308EB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红外对射器</w:t>
                  </w:r>
                </w:p>
              </w:tc>
              <w:tc>
                <w:tcPr>
                  <w:tcW w:w="2288" w:type="pct"/>
                  <w:noWrap w:val="0"/>
                  <w:vAlign w:val="center"/>
                </w:tcPr>
                <w:p w14:paraId="1FED753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10米有效距离</w:t>
                  </w:r>
                </w:p>
              </w:tc>
              <w:tc>
                <w:tcPr>
                  <w:tcW w:w="634" w:type="pct"/>
                  <w:noWrap w:val="0"/>
                  <w:vAlign w:val="center"/>
                </w:tcPr>
                <w:p w14:paraId="66B52C5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1对/列</w:t>
                  </w:r>
                </w:p>
              </w:tc>
            </w:tr>
            <w:tr w14:paraId="712F6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70" w:type="pct"/>
                  <w:noWrap w:val="0"/>
                  <w:vAlign w:val="center"/>
                </w:tcPr>
                <w:p w14:paraId="1570F04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706" w:type="pct"/>
                  <w:noWrap w:val="0"/>
                  <w:vAlign w:val="center"/>
                </w:tcPr>
                <w:p w14:paraId="4DE071D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2位列显</w:t>
                  </w:r>
                </w:p>
              </w:tc>
              <w:tc>
                <w:tcPr>
                  <w:tcW w:w="2288" w:type="pct"/>
                  <w:noWrap w:val="0"/>
                  <w:vAlign w:val="center"/>
                </w:tcPr>
                <w:p w14:paraId="53CF0B5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12V，高亮数码显示</w:t>
                  </w:r>
                </w:p>
              </w:tc>
              <w:tc>
                <w:tcPr>
                  <w:tcW w:w="634" w:type="pct"/>
                  <w:noWrap w:val="0"/>
                  <w:vAlign w:val="center"/>
                </w:tcPr>
                <w:p w14:paraId="28AD1AC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1个/列</w:t>
                  </w:r>
                </w:p>
              </w:tc>
            </w:tr>
          </w:tbl>
          <w:p w14:paraId="3D131AD9">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textAlignment w:val="auto"/>
              <w:rPr>
                <w:rFonts w:hint="eastAsia" w:ascii="宋体" w:hAnsi="宋体" w:eastAsia="宋体" w:cs="宋体"/>
                <w:color w:val="auto"/>
                <w:sz w:val="21"/>
                <w:szCs w:val="21"/>
                <w:highlight w:val="none"/>
                <w:lang w:eastAsia="zh-CN"/>
              </w:rPr>
            </w:pPr>
          </w:p>
        </w:tc>
      </w:tr>
    </w:tbl>
    <w:p w14:paraId="6CE112A9">
      <w:pPr>
        <w:rPr>
          <w:rFonts w:hint="eastAsia" w:ascii="宋体" w:hAnsi="宋体" w:eastAsia="宋体" w:cs="宋体"/>
          <w:b/>
          <w:bCs/>
          <w:color w:val="0000FF"/>
          <w:sz w:val="21"/>
          <w:szCs w:val="21"/>
          <w:highlight w:val="none"/>
          <w:lang w:val="en-US" w:eastAsia="zh-CN"/>
        </w:rPr>
      </w:pPr>
    </w:p>
    <w:p w14:paraId="477E06A0">
      <w:pPr>
        <w:pStyle w:val="4"/>
        <w:bidi w:val="0"/>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r>
        <w:rPr>
          <w:rFonts w:hint="eastAsia" w:ascii="宋体" w:hAnsi="宋体" w:eastAsia="宋体" w:cs="宋体"/>
          <w:highlight w:val="none"/>
          <w:lang w:val="en-US" w:eastAsia="zh-CN"/>
        </w:rPr>
        <w:t>（二）</w:t>
      </w:r>
      <w:r>
        <w:rPr>
          <w:rFonts w:hint="eastAsia" w:ascii="宋体" w:hAnsi="宋体" w:eastAsia="宋体" w:cs="宋体"/>
          <w:color w:val="000000"/>
          <w:kern w:val="0"/>
          <w:szCs w:val="21"/>
          <w:highlight w:val="none"/>
        </w:rPr>
        <w:t>智能环境监控系统</w:t>
      </w:r>
      <w:r>
        <w:rPr>
          <w:rFonts w:hint="eastAsia" w:ascii="宋体" w:hAnsi="宋体" w:eastAsia="宋体" w:cs="宋体"/>
          <w:highlight w:val="none"/>
          <w:lang w:val="en-US" w:eastAsia="zh-CN"/>
        </w:rPr>
        <w:t>技术参数要求</w:t>
      </w:r>
    </w:p>
    <w:tbl>
      <w:tblPr>
        <w:tblStyle w:val="15"/>
        <w:tblpPr w:leftFromText="180" w:rightFromText="180" w:vertAnchor="text" w:tblpXSpec="center" w:tblpY="1"/>
        <w:tblOverlap w:val="never"/>
        <w:tblW w:w="98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2"/>
        <w:gridCol w:w="1500"/>
        <w:gridCol w:w="6587"/>
        <w:gridCol w:w="125"/>
        <w:gridCol w:w="325"/>
        <w:gridCol w:w="161"/>
        <w:gridCol w:w="378"/>
      </w:tblGrid>
      <w:tr w14:paraId="597C4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CC1549">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CB0015">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设备名称</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19DAE3A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规格参数</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15EF4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1A6334FF">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r>
      <w:tr w14:paraId="6E380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818" w:type="dxa"/>
            <w:gridSpan w:val="7"/>
            <w:tcBorders>
              <w:top w:val="single" w:color="000000" w:sz="4" w:space="0"/>
              <w:left w:val="single" w:color="000000" w:sz="4" w:space="0"/>
              <w:bottom w:val="single" w:color="000000" w:sz="4" w:space="0"/>
              <w:right w:val="single" w:color="000000" w:sz="4" w:space="0"/>
            </w:tcBorders>
            <w:noWrap w:val="0"/>
            <w:vAlign w:val="center"/>
          </w:tcPr>
          <w:p w14:paraId="32E6C060">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一、库房环境智能管理系统</w:t>
            </w:r>
          </w:p>
        </w:tc>
      </w:tr>
      <w:tr w14:paraId="29196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818" w:type="dxa"/>
            <w:gridSpan w:val="7"/>
            <w:tcBorders>
              <w:top w:val="single" w:color="000000" w:sz="4" w:space="0"/>
              <w:left w:val="single" w:color="000000" w:sz="4" w:space="0"/>
              <w:bottom w:val="single" w:color="000000" w:sz="4" w:space="0"/>
              <w:right w:val="single" w:color="000000" w:sz="4" w:space="0"/>
            </w:tcBorders>
            <w:noWrap w:val="0"/>
            <w:vAlign w:val="center"/>
          </w:tcPr>
          <w:p w14:paraId="0D7210B3">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（一）恒温恒湿恒净控制系统</w:t>
            </w:r>
          </w:p>
        </w:tc>
      </w:tr>
      <w:tr w14:paraId="5D042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3632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2C7CB">
            <w:pPr>
              <w:keepNext w:val="0"/>
              <w:keepLines w:val="0"/>
              <w:widowControl/>
              <w:suppressLineNumbers w:val="0"/>
              <w:spacing w:line="360" w:lineRule="auto"/>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温湿度传感器</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6BE05C3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1.采用高精温湿度探头，可用于档案库房内温湿度精准分析，整体采用墨水屏显示，可高清显示温度和湿度、剩余电量，支持壁挂安装。</w:t>
            </w:r>
          </w:p>
          <w:p w14:paraId="7906139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2.无线类型：ZigBee3.0</w:t>
            </w:r>
          </w:p>
          <w:p w14:paraId="16DA0DF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3.发射频率：≤2.4GHz</w:t>
            </w:r>
          </w:p>
          <w:p w14:paraId="582F0AE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4.发射功率：≤10dBm</w:t>
            </w:r>
          </w:p>
          <w:p w14:paraId="2BE4B32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5.温度误差：±0.5摄氏度</w:t>
            </w:r>
          </w:p>
          <w:p w14:paraId="626F8C1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6.湿度误差：±5%</w:t>
            </w:r>
          </w:p>
          <w:p w14:paraId="5A40F34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7.工作电压：4.5V电池供电</w:t>
            </w:r>
          </w:p>
          <w:p w14:paraId="49FF670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8.支持设备与网关数据链路层密钥加密，保证设备和网关通讯安全；</w:t>
            </w:r>
          </w:p>
          <w:p w14:paraId="01E55A5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9.待机电流：≤30uA</w:t>
            </w:r>
          </w:p>
          <w:p w14:paraId="233127A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10.工作温度：-10℃～+55℃</w:t>
            </w:r>
          </w:p>
          <w:p w14:paraId="5D43D29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11.安装方式：壁挂</w:t>
            </w:r>
          </w:p>
          <w:p w14:paraId="22361FE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12.含温湿度数据接口软件</w:t>
            </w:r>
          </w:p>
        </w:tc>
        <w:tc>
          <w:tcPr>
            <w:tcW w:w="450" w:type="dxa"/>
            <w:gridSpan w:val="2"/>
            <w:tcBorders>
              <w:top w:val="single" w:color="000000" w:sz="4" w:space="0"/>
              <w:left w:val="single" w:color="000000" w:sz="4" w:space="0"/>
              <w:bottom w:val="single" w:color="000000" w:sz="4" w:space="0"/>
              <w:right w:val="single" w:color="000000" w:sz="4" w:space="0"/>
            </w:tcBorders>
            <w:noWrap/>
            <w:vAlign w:val="center"/>
          </w:tcPr>
          <w:p w14:paraId="24FF69F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539" w:type="dxa"/>
            <w:gridSpan w:val="2"/>
            <w:tcBorders>
              <w:top w:val="single" w:color="000000" w:sz="4" w:space="0"/>
              <w:left w:val="single" w:color="000000" w:sz="4" w:space="0"/>
              <w:bottom w:val="single" w:color="000000" w:sz="4" w:space="0"/>
              <w:right w:val="single" w:color="000000" w:sz="4" w:space="0"/>
            </w:tcBorders>
            <w:noWrap/>
            <w:vAlign w:val="center"/>
          </w:tcPr>
          <w:p w14:paraId="00C7788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个</w:t>
            </w:r>
          </w:p>
        </w:tc>
      </w:tr>
      <w:tr w14:paraId="215A6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EAE43">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FC5EE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智能恒湿一体机96L</w:t>
            </w:r>
          </w:p>
        </w:tc>
        <w:tc>
          <w:tcPr>
            <w:tcW w:w="6587" w:type="dxa"/>
            <w:tcBorders>
              <w:top w:val="single" w:color="000000" w:sz="4" w:space="0"/>
              <w:left w:val="single" w:color="000000" w:sz="4" w:space="0"/>
              <w:bottom w:val="single" w:color="000000" w:sz="4" w:space="0"/>
              <w:right w:val="single" w:color="000000" w:sz="4" w:space="0"/>
            </w:tcBorders>
            <w:noWrap w:val="0"/>
            <w:vAlign w:val="top"/>
          </w:tcPr>
          <w:p w14:paraId="03DC9EDE">
            <w:pPr>
              <w:keepNext w:val="0"/>
              <w:keepLines w:val="0"/>
              <w:widowControl/>
              <w:suppressLineNumbers w:val="0"/>
              <w:jc w:val="left"/>
              <w:textAlignment w:val="top"/>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1.湿度检测范围：10%-98%</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2.湿度检测精度：±3%RH</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3.▲</w:t>
            </w:r>
            <w:r>
              <w:rPr>
                <w:rFonts w:hint="eastAsia" w:ascii="宋体" w:hAnsi="宋体" w:eastAsia="宋体" w:cs="宋体"/>
                <w:i w:val="0"/>
                <w:iCs w:val="0"/>
                <w:color w:val="000000"/>
                <w:kern w:val="0"/>
                <w:sz w:val="21"/>
                <w:szCs w:val="21"/>
                <w:highlight w:val="none"/>
                <w:u w:val="none"/>
                <w:lang w:val="en-US" w:eastAsia="zh-CN" w:bidi="ar"/>
              </w:rPr>
              <w:t>屏幕大小：≥10.1英寸，屏幕分辨率：≥1027*768；需提供加盖CMA或CNAS标志的第三方检测报告扫描件或复印件，提供检测机构网站检测报告查询截图。</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4.加湿/除湿技术：湿膜加湿/冷冻式除湿</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5.加湿量：≥5kg/h</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6.除湿量（35℃/90%RH）：≥96L/24h</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7.加湿/除湿精度：≥±5%RH/±3%RH</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8.单个风机风量：≥1420m³/h</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9.风速支持三档风速调节</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10.内部水箱体积：≥40L</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11.排水方式：自动/手动</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12.电气防护：过载保护、漏电保护、防雷保护等</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13.▲主控芯片：采用国产化CPU，符合国产化要求</w:t>
            </w:r>
            <w:r>
              <w:rPr>
                <w:rFonts w:hint="eastAsia" w:ascii="宋体" w:hAnsi="宋体" w:eastAsia="宋体" w:cs="宋体"/>
                <w:i w:val="0"/>
                <w:iCs w:val="0"/>
                <w:color w:val="000000"/>
                <w:kern w:val="0"/>
                <w:sz w:val="21"/>
                <w:szCs w:val="21"/>
                <w:highlight w:val="none"/>
                <w:u w:val="none"/>
                <w:lang w:val="en-US" w:eastAsia="zh-CN" w:bidi="ar"/>
              </w:rPr>
              <w:t>；需提供加盖CMA或CNAS标志的第三方检测报告扫描件或复印件，提供检测机构网站检测报告查询截图。</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14.支持设备与平台数据链路层密钥加密，保证设备和平台通讯安全；</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15.额定电压及频率：220V/50HZ</w:t>
            </w:r>
            <w:r>
              <w:rPr>
                <w:rFonts w:hint="eastAsia" w:ascii="宋体" w:hAnsi="宋体" w:eastAsia="宋体" w:cs="宋体"/>
                <w:b w:val="0"/>
                <w:bCs w:val="0"/>
                <w:i w:val="0"/>
                <w:iCs w:val="0"/>
                <w:color w:val="auto"/>
                <w:kern w:val="0"/>
                <w:sz w:val="21"/>
                <w:szCs w:val="21"/>
                <w:highlight w:val="none"/>
                <w:u w:val="none"/>
                <w:lang w:val="en-US" w:eastAsia="zh-CN" w:bidi="ar"/>
              </w:rPr>
              <w:br w:type="textWrapping"/>
            </w:r>
            <w:r>
              <w:rPr>
                <w:rFonts w:hint="eastAsia" w:ascii="宋体" w:hAnsi="宋体" w:eastAsia="宋体" w:cs="宋体"/>
                <w:b w:val="0"/>
                <w:bCs w:val="0"/>
                <w:i w:val="0"/>
                <w:iCs w:val="0"/>
                <w:color w:val="auto"/>
                <w:kern w:val="0"/>
                <w:sz w:val="21"/>
                <w:szCs w:val="21"/>
                <w:highlight w:val="none"/>
                <w:u w:val="none"/>
                <w:lang w:val="en-US" w:eastAsia="zh-CN" w:bidi="ar"/>
              </w:rPr>
              <w:t>16.供电方式：220V 10A三叉接头</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5C28B89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231C3BEC">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台</w:t>
            </w:r>
          </w:p>
        </w:tc>
      </w:tr>
      <w:tr w14:paraId="65EDF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EE5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96497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智能加水车</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2049DDFC">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1.采用内外双腔设计，内部采用304不锈钢设计，经久耐用，可用于给智能恒湿一体机拓展水箱或者加水/排水。</w:t>
            </w:r>
          </w:p>
          <w:p w14:paraId="38E04F08">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2.水箱体积：≥100L</w:t>
            </w:r>
          </w:p>
          <w:p w14:paraId="08D2B453">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3.加水速度：≥30L/min</w:t>
            </w:r>
          </w:p>
          <w:p w14:paraId="55F47C94">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4.水箱内部尺寸：≥540*400*580mm</w:t>
            </w:r>
          </w:p>
          <w:p w14:paraId="53755D01">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5.排水方式：连接恒湿机自动/单独手动</w:t>
            </w:r>
          </w:p>
          <w:p w14:paraId="41CB7892">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6.水位检测功能：具备透明化显示剩余水量或者灯光显示剩余水量，发光灯柱亮度均衡</w:t>
            </w:r>
          </w:p>
          <w:p w14:paraId="748D7944">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7.万向轮：静音万向轮</w:t>
            </w:r>
          </w:p>
          <w:p w14:paraId="0FEB1656">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8.运行模式：支持自动和手动加水</w:t>
            </w:r>
          </w:p>
          <w:p w14:paraId="5649D7F9">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9.▲支持用于恒湿机外扩水箱，自动模式下会自动根据恒湿机水箱水量进行自动加水和排水；需提供加盖CMA或CNAS标志的第三方检测报告扫描件或复印件，提供检测机构网站检测报告查询截图。</w:t>
            </w:r>
          </w:p>
          <w:p w14:paraId="414931AD">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10.额定电压及频率：220V/50HZ</w:t>
            </w:r>
          </w:p>
          <w:p w14:paraId="3221081B">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11.整机功率：≤60W</w:t>
            </w:r>
          </w:p>
          <w:p w14:paraId="6D81D886">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12.含加水车智能控制嵌入式软件</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6164A31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48D3B0E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r>
      <w:tr w14:paraId="2B50C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38D8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5C526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空气质量传感器</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46453DAC">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1.内置温度、湿度、PM1.0、PM2.5等传感器，可用于库房内空气质量精准分析。</w:t>
            </w:r>
          </w:p>
          <w:p w14:paraId="00DBE96D">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2.内置墨水屏设计，可本地显示空气质量状况，支持靠近亮屏功能，降低能耗提高设备使用寿命。</w:t>
            </w:r>
          </w:p>
          <w:p w14:paraId="013EDDBE">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3.通信类型：Zigbee3.0</w:t>
            </w:r>
          </w:p>
          <w:p w14:paraId="00506A77">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4.工作电压：AC220V</w:t>
            </w:r>
          </w:p>
          <w:p w14:paraId="600776D4">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5.温度量程：-10~55℃</w:t>
            </w:r>
          </w:p>
          <w:p w14:paraId="5343540C">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6.温度精度：≤±1℃</w:t>
            </w:r>
          </w:p>
          <w:p w14:paraId="3F4534AC">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7.湿度量程：0~95%RH</w:t>
            </w:r>
          </w:p>
          <w:p w14:paraId="705EC07B">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8.湿度精度：≤±5%RH</w:t>
            </w:r>
          </w:p>
          <w:p w14:paraId="678B2F7B">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9.PM2.5/PM10量程：0～999μg/m³</w:t>
            </w:r>
          </w:p>
          <w:p w14:paraId="5C99C86C">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10.PM2.5/PM10精度：≤±15%，</w:t>
            </w:r>
          </w:p>
          <w:p w14:paraId="73CEB265">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11.▲光照度：0～1000lux，测量精度：≤±20%；需提供加盖CMA或CNAS标志的第三方检测报告扫描件或复印件，提供检测机构网站检测报告查询截图。</w:t>
            </w:r>
          </w:p>
          <w:p w14:paraId="483A4333">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12.支持设备与网关数据链路层128位密钥加密，保证设备和网关通讯安全；</w:t>
            </w:r>
          </w:p>
          <w:p w14:paraId="44988BC7">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13.含空气质量数据接口软件</w:t>
            </w:r>
          </w:p>
        </w:tc>
        <w:tc>
          <w:tcPr>
            <w:tcW w:w="450" w:type="dxa"/>
            <w:gridSpan w:val="2"/>
            <w:tcBorders>
              <w:top w:val="single" w:color="000000" w:sz="4" w:space="0"/>
              <w:left w:val="single" w:color="000000" w:sz="4" w:space="0"/>
              <w:bottom w:val="single" w:color="000000" w:sz="4" w:space="0"/>
              <w:right w:val="single" w:color="000000" w:sz="4" w:space="0"/>
            </w:tcBorders>
            <w:noWrap/>
            <w:vAlign w:val="center"/>
          </w:tcPr>
          <w:p w14:paraId="4F4C50F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539" w:type="dxa"/>
            <w:gridSpan w:val="2"/>
            <w:tcBorders>
              <w:top w:val="single" w:color="000000" w:sz="4" w:space="0"/>
              <w:left w:val="single" w:color="000000" w:sz="4" w:space="0"/>
              <w:bottom w:val="single" w:color="000000" w:sz="4" w:space="0"/>
              <w:right w:val="single" w:color="000000" w:sz="4" w:space="0"/>
            </w:tcBorders>
            <w:noWrap/>
            <w:vAlign w:val="center"/>
          </w:tcPr>
          <w:p w14:paraId="3FE12B5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个</w:t>
            </w:r>
          </w:p>
        </w:tc>
      </w:tr>
      <w:tr w14:paraId="7C8C0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497F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14BA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恒温恒湿恒净管理功能模块</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59BDBA14">
            <w:pPr>
              <w:keepNext w:val="0"/>
              <w:keepLines w:val="0"/>
              <w:widowControl/>
              <w:suppressLineNumbers w:val="0"/>
              <w:spacing w:line="360" w:lineRule="auto"/>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恒温恒湿恒净接入功能模块，可实现库房内环境质量智能分析，可对接空调、恒湿机、消毒净化一体机实现环境恒温、恒湿、恒净控制。</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34C8243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6DF8400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r>
      <w:tr w14:paraId="4A103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818" w:type="dxa"/>
            <w:gridSpan w:val="7"/>
            <w:tcBorders>
              <w:top w:val="single" w:color="000000" w:sz="4" w:space="0"/>
              <w:left w:val="single" w:color="000000" w:sz="4" w:space="0"/>
              <w:bottom w:val="single" w:color="000000" w:sz="4" w:space="0"/>
              <w:right w:val="single" w:color="000000" w:sz="4" w:space="0"/>
            </w:tcBorders>
            <w:noWrap w:val="0"/>
            <w:vAlign w:val="center"/>
          </w:tcPr>
          <w:p w14:paraId="3A1D13C5">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（二）安防监控系统</w:t>
            </w:r>
          </w:p>
        </w:tc>
      </w:tr>
      <w:tr w14:paraId="3EDA6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8F56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44ADA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200万摄像机</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52962B7A">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传感器类型：≥1/2.8英寸CMOS；</w:t>
            </w:r>
          </w:p>
          <w:p w14:paraId="3E30BD43">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像素：≥200万；</w:t>
            </w:r>
          </w:p>
          <w:p w14:paraId="50BA6386">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最大分辨率：≥1920*1080；</w:t>
            </w:r>
          </w:p>
          <w:p w14:paraId="18737360">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最低照度：0.01lux（彩色模式）；0.001lux（黑白模式）；0lux（补光灯开启）；</w:t>
            </w:r>
          </w:p>
          <w:p w14:paraId="4259F762">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最大补光距离：≥50m（红外）；</w:t>
            </w:r>
          </w:p>
          <w:p w14:paraId="5F173403">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补光灯：≥2颗（红外灯）；</w:t>
            </w:r>
          </w:p>
          <w:p w14:paraId="082D539F">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镜头类型：定焦；</w:t>
            </w:r>
          </w:p>
          <w:p w14:paraId="46BA517A">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镜头焦距：≥2.8mm；</w:t>
            </w:r>
          </w:p>
          <w:p w14:paraId="577E15B0">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镜头光圈：F2.0；</w:t>
            </w:r>
          </w:p>
          <w:p w14:paraId="3493B560">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视场角：水平：96°；垂直：52°；对角：118°；</w:t>
            </w:r>
          </w:p>
          <w:p w14:paraId="7957900A">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智能编码：H.264:支持;H.265:支持；</w:t>
            </w:r>
          </w:p>
          <w:p w14:paraId="050A3907">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宽动态：支持；</w:t>
            </w:r>
          </w:p>
          <w:p w14:paraId="2DBED5E1">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走廊模式：90°/270°（在1080P分辨率及以下支持）；</w:t>
            </w:r>
          </w:p>
          <w:p w14:paraId="526A4BBE">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内置MIC：支持，内置≥1个MIC；</w:t>
            </w:r>
          </w:p>
          <w:p w14:paraId="128AA893">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报警事件：网络断开;IP冲突;非法访问;动态检测;视频遮挡;音频异常侦测;安全异常；</w:t>
            </w:r>
          </w:p>
          <w:p w14:paraId="05F2FF62">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接入标准：ONVIF（Profile S）；CGI；GB/T28181；</w:t>
            </w:r>
          </w:p>
          <w:p w14:paraId="0810B20C">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预览最大用户数：≥6个（总带宽：36Ｍ）；</w:t>
            </w:r>
          </w:p>
          <w:p w14:paraId="0B9793BA">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供电方式：DC12V/PoE；</w:t>
            </w:r>
          </w:p>
          <w:p w14:paraId="26387CFB">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防护等级：≥IP67</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08CF55C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5F6EC32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r>
      <w:tr w14:paraId="398A7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1F64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9235D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8路网络硬盘录像机</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7C879A36">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1.主处理器：工业级微控制器；</w:t>
            </w:r>
          </w:p>
          <w:p w14:paraId="1F24C855">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2.操作系统：嵌入式Linux操作系统；</w:t>
            </w:r>
          </w:p>
          <w:p w14:paraId="0A8AD395">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3.后智能分析：支持后智能智能动检；</w:t>
            </w:r>
          </w:p>
          <w:p w14:paraId="603AD37F">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4.前智能分析：支持前智能人脸检测、人脸识别、周界防范、智能动检、立体行为分析、人群分布、人数统计、车牌识别；</w:t>
            </w:r>
          </w:p>
          <w:p w14:paraId="4220AA1C">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5.周界前智能性能（路数）：≥6 路；</w:t>
            </w:r>
          </w:p>
          <w:p w14:paraId="78E1AF0D">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6.人脸识别前智能性能（路数）：全通道（最大处理6个事件/秒）；</w:t>
            </w:r>
          </w:p>
          <w:p w14:paraId="3ABA73D8">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7.接入路数：≥8路；</w:t>
            </w:r>
          </w:p>
          <w:p w14:paraId="24ED3E33">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8.分辨率：12MP;8MP;6MP;5MP;4MP;3MP;1080p;720p;960p;D1;CIF;QCIF；</w:t>
            </w:r>
          </w:p>
          <w:p w14:paraId="294D2964">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9.解码能力：不开智能：1路12MP@25fps; 2路8MP@25fps; 3路5MP@25fps; 4路4MP@25fps；10路1080p@25fps开智能：1路12MP@25fps; 2路8MP@25fps; 3路5MP@25fps; 4路4MP@25fps；9路1080p@25fps；</w:t>
            </w:r>
          </w:p>
          <w:p w14:paraId="6E3EF285">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10.报警输入：≥4路；</w:t>
            </w:r>
          </w:p>
          <w:p w14:paraId="33543D1D">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11.报警输出：≥2路；</w:t>
            </w:r>
          </w:p>
          <w:p w14:paraId="7B5EC99A">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12.硬盘接口：≥2个SATA，单盘最大20T；</w:t>
            </w:r>
          </w:p>
          <w:p w14:paraId="4356D9C5">
            <w:pPr>
              <w:keepNext w:val="0"/>
              <w:keepLines w:val="0"/>
              <w:widowControl/>
              <w:suppressLineNumbers w:val="0"/>
              <w:spacing w:line="360" w:lineRule="auto"/>
              <w:jc w:val="left"/>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13.网络接口：≥2个（10M/100M/1000M以太网口，RJ-45）</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3A7A3F26">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5AB5665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r>
      <w:tr w14:paraId="3E518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8A97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03066A">
            <w:pPr>
              <w:keepNext w:val="0"/>
              <w:keepLines w:val="0"/>
              <w:widowControl/>
              <w:suppressLineNumbers w:val="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10TB硬盘</w:t>
            </w:r>
          </w:p>
        </w:tc>
        <w:tc>
          <w:tcPr>
            <w:tcW w:w="6587" w:type="dxa"/>
            <w:tcBorders>
              <w:top w:val="single" w:color="000000" w:sz="4" w:space="0"/>
              <w:left w:val="single" w:color="000000" w:sz="4" w:space="0"/>
              <w:bottom w:val="single" w:color="000000" w:sz="4" w:space="0"/>
              <w:right w:val="single" w:color="000000" w:sz="4" w:space="0"/>
            </w:tcBorders>
            <w:noWrap w:val="0"/>
            <w:vAlign w:val="top"/>
          </w:tcPr>
          <w:p w14:paraId="610729E7">
            <w:pPr>
              <w:keepNext w:val="0"/>
              <w:keepLines w:val="0"/>
              <w:widowControl/>
              <w:suppressLineNumbers w:val="0"/>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1.单盘容量：≥10TB；</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2.缓存：≥256MB；</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3.转速：≥7200RPM；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4.硬盘接口：SATA</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6AF3F370">
            <w:pPr>
              <w:keepNext w:val="0"/>
              <w:keepLines w:val="0"/>
              <w:widowControl/>
              <w:suppressLineNumbers w:val="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ign w:val="center"/>
          </w:tcPr>
          <w:p w14:paraId="00404459">
            <w:pPr>
              <w:keepNext w:val="0"/>
              <w:keepLines w:val="0"/>
              <w:widowControl/>
              <w:suppressLineNumbers w:val="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r>
      <w:tr w14:paraId="0FA1E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60AD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1665A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智能视频物联功能模块</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6F7566BA">
            <w:pPr>
              <w:keepNext w:val="0"/>
              <w:keepLines w:val="0"/>
              <w:widowControl/>
              <w:suppressLineNumbers w:val="0"/>
              <w:spacing w:line="360" w:lineRule="auto"/>
              <w:jc w:val="left"/>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视频监控接入功能模块，支持视频监控系统接入，实现视频统一管理查看</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75443C62">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0ECA342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套</w:t>
            </w:r>
          </w:p>
        </w:tc>
      </w:tr>
      <w:tr w14:paraId="3D7C5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8232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3642E7">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火灾探测器</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5C68841E">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1.支持温感和烟感双重探测技术，可在火灾发生前期精准判断火灾情况，可用于库房内火灾实时检测。</w:t>
            </w:r>
          </w:p>
          <w:p w14:paraId="63BE942A">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2.工作电压：AC220V/50Hz </w:t>
            </w:r>
          </w:p>
          <w:p w14:paraId="5F2FB12C">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3.备用电池: DC3V (CR2锂电池)</w:t>
            </w:r>
          </w:p>
          <w:p w14:paraId="09F595AF">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4.联网方式：Zigbee</w:t>
            </w:r>
          </w:p>
          <w:p w14:paraId="3D9C5DB3">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5.报警声压：≥80dB (正前方3m )</w:t>
            </w:r>
          </w:p>
          <w:p w14:paraId="4711DC9A">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6.工作温度：-10℃～+55℃</w:t>
            </w:r>
          </w:p>
          <w:p w14:paraId="6053DC02">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7.工作湿度：≤95%RH (无凝结现象）</w:t>
            </w:r>
          </w:p>
          <w:p w14:paraId="130E2BCA">
            <w:pPr>
              <w:keepNext w:val="0"/>
              <w:keepLines w:val="0"/>
              <w:widowControl/>
              <w:suppressLineNumbers w:val="0"/>
              <w:spacing w:line="360" w:lineRule="auto"/>
              <w:jc w:val="left"/>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8.安装方式：吸顶嵌入式安装</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6DD2026C">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539" w:type="dxa"/>
            <w:gridSpan w:val="2"/>
            <w:tcBorders>
              <w:top w:val="single" w:color="000000" w:sz="4" w:space="0"/>
              <w:left w:val="single" w:color="000000" w:sz="4" w:space="0"/>
              <w:bottom w:val="single" w:color="000000" w:sz="4" w:space="0"/>
              <w:right w:val="single" w:color="000000" w:sz="4" w:space="0"/>
            </w:tcBorders>
            <w:noWrap/>
            <w:vAlign w:val="center"/>
          </w:tcPr>
          <w:p w14:paraId="756DF7D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r>
      <w:tr w14:paraId="19A3E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E620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6882B1">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漏水传感器</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02D7BAA3">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1.搭配漏水绳实现智能漏水告警，漏水绳上任何一个位置遇到了水都能实现漏水警告。</w:t>
            </w:r>
          </w:p>
          <w:p w14:paraId="539B66BE">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2.通讯类型：Zigbee3.0</w:t>
            </w:r>
          </w:p>
          <w:p w14:paraId="0CABB29C">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3.▲主控芯片：采用国产化MCU和通讯芯片，符合国产化要求</w:t>
            </w:r>
            <w:r>
              <w:rPr>
                <w:rFonts w:hint="eastAsia" w:ascii="宋体" w:hAnsi="宋体" w:eastAsia="宋体" w:cs="宋体"/>
                <w:i w:val="0"/>
                <w:iCs w:val="0"/>
                <w:color w:val="000000"/>
                <w:kern w:val="0"/>
                <w:sz w:val="21"/>
                <w:szCs w:val="21"/>
                <w:highlight w:val="none"/>
                <w:u w:val="none"/>
                <w:lang w:val="en-US" w:eastAsia="zh-CN" w:bidi="ar"/>
              </w:rPr>
              <w:t>；需提供加盖CMA或CNAS标志的第三方检测报告扫描件或复印件，提供检测机构网站检测报告查询截图。</w:t>
            </w:r>
            <w:r>
              <w:rPr>
                <w:rFonts w:hint="eastAsia" w:ascii="宋体" w:hAnsi="宋体" w:eastAsia="宋体" w:cs="宋体"/>
                <w:i w:val="0"/>
                <w:iCs w:val="0"/>
                <w:color w:val="auto"/>
                <w:kern w:val="0"/>
                <w:sz w:val="21"/>
                <w:szCs w:val="21"/>
                <w:highlight w:val="none"/>
                <w:u w:val="none"/>
                <w:lang w:val="en-US" w:eastAsia="zh-CN" w:bidi="ar"/>
              </w:rPr>
              <w:t>4.支持自检功能</w:t>
            </w:r>
          </w:p>
          <w:p w14:paraId="4F7C4DD3">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5.告警声压：≥40dB</w:t>
            </w:r>
          </w:p>
          <w:p w14:paraId="351FB3C1">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6.安装方式：86底盒安装</w:t>
            </w:r>
          </w:p>
          <w:p w14:paraId="306039C1">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7.产品尺寸：≤86*86*30 mm  </w:t>
            </w:r>
          </w:p>
          <w:p w14:paraId="0E578AAD">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8.工作温度：-10℃～+55℃</w:t>
            </w:r>
          </w:p>
          <w:p w14:paraId="4DF015B8">
            <w:pPr>
              <w:keepNext w:val="0"/>
              <w:keepLines w:val="0"/>
              <w:widowControl/>
              <w:suppressLineNumbers w:val="0"/>
              <w:spacing w:line="360" w:lineRule="auto"/>
              <w:jc w:val="left"/>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9.工作湿度：0～95%RH（无冷凝）</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1B3E78C8">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ign w:val="center"/>
          </w:tcPr>
          <w:p w14:paraId="26217325">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r>
      <w:tr w14:paraId="55CDE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DAD5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AE4CD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漏水绳</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6400C465">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配合Zigbee漏水传感器使用，可用于漏水检测位长米，线缆直径4.5mm。</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0686460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7BB86DBE">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条</w:t>
            </w:r>
          </w:p>
        </w:tc>
      </w:tr>
      <w:tr w14:paraId="237E4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E2D1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8DAD7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红外传感器</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509938B6">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1.采用吸顶广角红外探测技术，可探测广角4～6米范围，可用于门口和窗户等区域安防入侵检测。</w:t>
            </w:r>
          </w:p>
          <w:p w14:paraId="69680BEC">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2.通讯类型：ZigBee3.0</w:t>
            </w:r>
          </w:p>
          <w:p w14:paraId="108545B1">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3.响应时间：≤1s(人体进入探测范围到数据上报时间)</w:t>
            </w:r>
          </w:p>
          <w:p w14:paraId="2AFC381E">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4.具备配网按键</w:t>
            </w:r>
          </w:p>
          <w:p w14:paraId="5DBB0295">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5.▲支持远程查询配置状态，包含入侵检测的范围和角度、入侵检测的灵敏度</w:t>
            </w:r>
            <w:r>
              <w:rPr>
                <w:rFonts w:hint="eastAsia" w:ascii="宋体" w:hAnsi="宋体" w:eastAsia="宋体" w:cs="宋体"/>
                <w:i w:val="0"/>
                <w:iCs w:val="0"/>
                <w:color w:val="000000"/>
                <w:kern w:val="0"/>
                <w:sz w:val="21"/>
                <w:szCs w:val="21"/>
                <w:highlight w:val="none"/>
                <w:u w:val="none"/>
                <w:lang w:val="en-US" w:eastAsia="zh-CN" w:bidi="ar"/>
              </w:rPr>
              <w:t>；需提供加盖CMA或CNAS标志的第三方检测报告扫描件或复印件，提供检测机构网站检测报告查询截图。</w:t>
            </w:r>
          </w:p>
          <w:p w14:paraId="7C89D4BE">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6.探测直径（安装高度3m）：直径≥5m</w:t>
            </w:r>
          </w:p>
          <w:p w14:paraId="6638A053">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7.支持自检功能</w:t>
            </w:r>
          </w:p>
          <w:p w14:paraId="614BC77F">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9.安装方式：嵌入式安装（吸顶）</w:t>
            </w:r>
          </w:p>
          <w:p w14:paraId="6149173A">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10.工作温度：-10℃～+55℃</w:t>
            </w:r>
          </w:p>
          <w:p w14:paraId="2928A537">
            <w:pPr>
              <w:keepNext w:val="0"/>
              <w:keepLines w:val="0"/>
              <w:widowControl/>
              <w:suppressLineNumbers w:val="0"/>
              <w:spacing w:line="360" w:lineRule="auto"/>
              <w:jc w:val="left"/>
              <w:textAlignment w:val="top"/>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11.工作湿度：0～95%无冷凝</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4769DCC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ign w:val="center"/>
          </w:tcPr>
          <w:p w14:paraId="5E212409">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r>
      <w:tr w14:paraId="7A349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CB54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6E529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声光报警器</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69109CE5">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1.配合对应设备实现声光报警功能，包含安防入侵报警、漏水报警等功能。</w:t>
            </w:r>
          </w:p>
          <w:p w14:paraId="33B7C447">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2.无线类型：Zigbee3.0</w:t>
            </w:r>
          </w:p>
          <w:p w14:paraId="66520E58">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3.发射频率：≤2.4Ghz</w:t>
            </w:r>
          </w:p>
          <w:p w14:paraId="2D57AC16">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 xml:space="preserve">4.发射功率：≤20dBm </w:t>
            </w:r>
          </w:p>
          <w:p w14:paraId="5E6CF852">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5.工作电压：100V～240V AC</w:t>
            </w:r>
          </w:p>
          <w:p w14:paraId="0D373B22">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6.声压报警：≥100dB</w:t>
            </w:r>
          </w:p>
          <w:p w14:paraId="40F60C60">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7.▲支持自定义远程告警策略下发，可定义告警音量、是否开启闪光灯、告警持续时间；需提供加盖CMA或CNAS标志的第三方检测报告扫描件或复印件，提供检测机构网站检测报告查询截图。</w:t>
            </w:r>
          </w:p>
          <w:p w14:paraId="1EE9CC05">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8.工作温度：-10℃～+55℃</w:t>
            </w:r>
          </w:p>
          <w:p w14:paraId="458F5FAE">
            <w:pPr>
              <w:keepNext w:val="0"/>
              <w:keepLines w:val="0"/>
              <w:widowControl/>
              <w:suppressLineNumbers w:val="0"/>
              <w:spacing w:line="360" w:lineRule="auto"/>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9.外观尺寸：≥Φ80*35mm</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038EDF7F">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ign w:val="center"/>
          </w:tcPr>
          <w:p w14:paraId="779756BB">
            <w:pPr>
              <w:keepNext w:val="0"/>
              <w:keepLines w:val="0"/>
              <w:widowControl/>
              <w:suppressLineNumbers w:val="0"/>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r>
      <w:tr w14:paraId="4D1C5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5C79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220AE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智能安防管理功能模块</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0595B141">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安防管理功能模块，可实现火灾系统检测、漏水检测、安防入侵、声光报警等功能，实现智能安防管理。</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1070915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01B4DFF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r>
      <w:tr w14:paraId="41EE9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035C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FEC7F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人脸识别门禁</w:t>
            </w:r>
          </w:p>
          <w:p w14:paraId="3F7996D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（含配件）</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5CF754A9">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1.主处理器：高性能嵌入式处理器；</w:t>
            </w:r>
          </w:p>
          <w:p w14:paraId="56AFC24D">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2.显示屏：≥7英寸显示屏；</w:t>
            </w:r>
          </w:p>
          <w:p w14:paraId="62E4888B">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3.屏幕类型：电容触摸屏；</w:t>
            </w:r>
          </w:p>
          <w:p w14:paraId="7253B7FB">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4.摄像头：2MP CMOS高清双摄像头；</w:t>
            </w:r>
          </w:p>
          <w:p w14:paraId="174F4B31">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5.外壳材料：钢化玻璃/PC+ABS；</w:t>
            </w:r>
          </w:p>
          <w:p w14:paraId="00418EFA">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6.人脸识别准确率：≥99.9%；</w:t>
            </w:r>
          </w:p>
          <w:p w14:paraId="61CABDFA">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7.人脸识别速度：≥0.2s；</w:t>
            </w:r>
          </w:p>
          <w:p w14:paraId="5F3047C0">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8.用户容量：≥20000；</w:t>
            </w:r>
          </w:p>
          <w:p w14:paraId="0044D0E6">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9.人脸容量：≥20000；</w:t>
            </w:r>
          </w:p>
          <w:p w14:paraId="0B4ABE07">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10.卡片容量：≥50000张；</w:t>
            </w:r>
          </w:p>
          <w:p w14:paraId="5E032578">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11.密码容量：≥20000个；</w:t>
            </w:r>
          </w:p>
          <w:p w14:paraId="23A70176">
            <w:pPr>
              <w:keepNext w:val="0"/>
              <w:keepLines w:val="0"/>
              <w:widowControl/>
              <w:suppressLineNumbers w:val="0"/>
              <w:spacing w:line="360" w:lineRule="auto"/>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12.存储记录数量：≥300000条；</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1A8BCA5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40AF7D1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r>
      <w:tr w14:paraId="51A8A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E941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C177F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智能门禁管理功能模块</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2F946F2C">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门禁一体机接入功能模块，支持人脸识别门禁一体机接入，并提供门禁管理系统功能</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5234E15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3CDA623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套</w:t>
            </w:r>
          </w:p>
        </w:tc>
      </w:tr>
      <w:tr w14:paraId="78C9B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818" w:type="dxa"/>
            <w:gridSpan w:val="7"/>
            <w:tcBorders>
              <w:top w:val="single" w:color="000000" w:sz="4" w:space="0"/>
              <w:left w:val="single" w:color="000000" w:sz="4" w:space="0"/>
              <w:bottom w:val="single" w:color="000000" w:sz="4" w:space="0"/>
              <w:right w:val="single" w:color="000000" w:sz="4" w:space="0"/>
            </w:tcBorders>
            <w:noWrap w:val="0"/>
            <w:vAlign w:val="center"/>
          </w:tcPr>
          <w:p w14:paraId="364B8A49">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（三）防鼠防虫系统</w:t>
            </w:r>
          </w:p>
        </w:tc>
      </w:tr>
      <w:tr w14:paraId="1BD9E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E889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C5904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双波变频驱鼠器</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0D65B84B">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1、采用现代微电子技术手段,可以同时间歇交替地产生超低频电磁波和两种不同类型的超声波，作用于老鼠的听觉系统和神经系统,使其产生不适和不快,而逃离现场。</w:t>
            </w:r>
          </w:p>
          <w:p w14:paraId="354CB1B7">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2、超声波频率：34KHZ～45KHZ；</w:t>
            </w:r>
          </w:p>
          <w:p w14:paraId="6F1370BD">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3、供电方式：AC100-220V/DC5V;额定功率：≤15W</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4EC30C8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5D12952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r>
      <w:tr w14:paraId="2BAF8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0BC5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363C8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灭蚊器</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353DA633">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灭蚊器通过灯光吸引蚊虫靠近，释放高压将蚊虫击毙，</w:t>
            </w:r>
          </w:p>
          <w:p w14:paraId="3832C390">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严格控制输出电流≤1.5mA，保障人员安全，杜绝触电风险</w:t>
            </w:r>
          </w:p>
          <w:p w14:paraId="7EF91A36">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具备过载保护，当电路发生异常，保险丝自动熔断切断电流</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71758C5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6DDB924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r>
      <w:tr w14:paraId="6ACD9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BD8F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DEBFE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驱虫药</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0C030D14">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1.功能特点：杀虫、防蛀、防霉、抗菌、驱避、高效无毒、无污染，对档案纸张、字迹无影响、绿色环保产品。</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408EF87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35B082A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箱</w:t>
            </w:r>
          </w:p>
        </w:tc>
      </w:tr>
      <w:tr w14:paraId="246FF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818" w:type="dxa"/>
            <w:gridSpan w:val="7"/>
            <w:tcBorders>
              <w:top w:val="single" w:color="000000" w:sz="4" w:space="0"/>
              <w:left w:val="single" w:color="000000" w:sz="4" w:space="0"/>
              <w:bottom w:val="single" w:color="000000" w:sz="4" w:space="0"/>
              <w:right w:val="single" w:color="000000" w:sz="4" w:space="0"/>
            </w:tcBorders>
            <w:noWrap w:val="0"/>
            <w:vAlign w:val="center"/>
          </w:tcPr>
          <w:p w14:paraId="64B725D3">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二、物联网组网设备</w:t>
            </w:r>
          </w:p>
        </w:tc>
      </w:tr>
      <w:tr w14:paraId="02878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B2EB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9BB53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智能无线网关</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6C382E7F">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1、无线网关功能：支持Zigbee Mash组网功能，可连接多种Zigbee设备；</w:t>
            </w:r>
          </w:p>
          <w:p w14:paraId="4841BF3D">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2、无线射频参数：无线通信协议Zigbee3.0，发射功率≥20dBm，网关覆盖距离≥100米，支持设备的数量≥80个，可配置11-26信道。</w:t>
            </w:r>
          </w:p>
          <w:p w14:paraId="21E7793A">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3、有线接入参数：接口类型RJ45，通讯速率为≥10/100Mbps自适应；</w:t>
            </w:r>
          </w:p>
          <w:p w14:paraId="194615A8">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4、芯片规格：主控芯片，采用国产化MCU和通讯芯片；</w:t>
            </w:r>
          </w:p>
          <w:p w14:paraId="69921FC0">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5、供电要求：支持IEEE802.3af POE供电，工作功率≤5W；</w:t>
            </w:r>
          </w:p>
          <w:p w14:paraId="44690598">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6、ESD性能：接触静电防护≥±6KV，空气静电≥8KV。</w:t>
            </w:r>
          </w:p>
          <w:p w14:paraId="2122EDAF">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 xml:space="preserve">7、工作工况：支持吸顶安装方式，具备复位键和组网键，工作温度：-10℃～+60℃，工作湿度：≤95%RH； </w:t>
            </w:r>
          </w:p>
          <w:p w14:paraId="1E81CCBA">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8、网络配置：支持配置DHCP网络模式，支持手动配置IP、掩码、网关和DNS信息；</w:t>
            </w:r>
          </w:p>
          <w:p w14:paraId="14CA4911">
            <w:pPr>
              <w:keepNext w:val="0"/>
              <w:keepLines w:val="0"/>
              <w:widowControl/>
              <w:suppressLineNumbers w:val="0"/>
              <w:spacing w:line="360" w:lineRule="auto"/>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支持安全组网功能：网关连接平台时，需要在平台输入SN与KEY，才可以进行平台的连接；网关可连接平台支持网关与平台数据链路通过密钥加密传输；需提供加盖CMA或CNAS标志的第三方检测报告扫描件或复印件，提供检测机构网站检测报告查询截图。</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3256518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FF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5A54B39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r>
      <w:tr w14:paraId="7E5C6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B0F5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2613C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无线AP</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557EB0DA">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1、新-代 Wi-Fi6 (802.11ax)技术</w:t>
            </w:r>
          </w:p>
          <w:p w14:paraId="018210B1">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2、无线发射功率线性可调，根据需求调整信号覆盖范围</w:t>
            </w:r>
          </w:p>
          <w:p w14:paraId="07B7B5C9">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3、专业双频天线，提升覆盖区域信号质量</w:t>
            </w:r>
          </w:p>
          <w:p w14:paraId="21E7FFFE">
            <w:pPr>
              <w:keepNext w:val="0"/>
              <w:keepLines w:val="0"/>
              <w:widowControl/>
              <w:suppressLineNumbers w:val="0"/>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4、吸顶式安装，802.3af标准POE网线供电</w:t>
            </w:r>
          </w:p>
          <w:p w14:paraId="561DCE87">
            <w:pPr>
              <w:keepNext w:val="0"/>
              <w:keepLines w:val="0"/>
              <w:widowControl/>
              <w:suppressLineNumbers w:val="0"/>
              <w:spacing w:line="360" w:lineRule="auto"/>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5、独立硬件保护电路，可自动恢复工作异常AP</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50306C5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48BFBE2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r>
      <w:tr w14:paraId="20020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1FE0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C285C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16口PoE交换机（240W）</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253C4AAE">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1.≥16个10/100/1000Mbps自适应PoE电口，≥2个10/100/1000Mbps自适应上行电口，≥2个1000Mbps上行光口；</w:t>
            </w:r>
          </w:p>
          <w:p w14:paraId="41CBB3DB">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2.1～2口单口最大PoE输出功率≥90w，3～16口单口最大PoE输出功率≥30w，整机最大PoE输出功率≥240w；</w:t>
            </w:r>
          </w:p>
          <w:p w14:paraId="233E243B">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3.交换容量：≥256Gbps/2.56Tbps，包转发率：≥31.5Mpps/39 Mpps；</w:t>
            </w:r>
          </w:p>
          <w:p w14:paraId="6A0A2232">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4.支持≥250米远距离供电；支持PoE看门狗功能；支持基于端口的VLAN，支持环路告警，流量控制；支持网络拓扑自动生成；</w:t>
            </w:r>
          </w:p>
          <w:p w14:paraId="336762E7">
            <w:pPr>
              <w:keepNext w:val="0"/>
              <w:keepLines w:val="0"/>
              <w:widowControl/>
              <w:suppressLineNumbers w:val="0"/>
              <w:spacing w:line="36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5.工作温度：-10℃～+55℃</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1883E00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705A596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r>
      <w:tr w14:paraId="1FB05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8122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CB6B6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9U机柜</w:t>
            </w:r>
          </w:p>
        </w:tc>
        <w:tc>
          <w:tcPr>
            <w:tcW w:w="6587" w:type="dxa"/>
            <w:tcBorders>
              <w:top w:val="single" w:color="000000" w:sz="4" w:space="0"/>
              <w:left w:val="single" w:color="000000" w:sz="4" w:space="0"/>
              <w:bottom w:val="single" w:color="000000" w:sz="4" w:space="0"/>
              <w:right w:val="single" w:color="000000" w:sz="4" w:space="0"/>
            </w:tcBorders>
            <w:noWrap w:val="0"/>
            <w:vAlign w:val="center"/>
          </w:tcPr>
          <w:p w14:paraId="3E879BDA">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9U机柜，含电源模块</w:t>
            </w:r>
          </w:p>
        </w:tc>
        <w:tc>
          <w:tcPr>
            <w:tcW w:w="450" w:type="dxa"/>
            <w:gridSpan w:val="2"/>
            <w:tcBorders>
              <w:top w:val="single" w:color="000000" w:sz="4" w:space="0"/>
              <w:left w:val="single" w:color="000000" w:sz="4" w:space="0"/>
              <w:bottom w:val="single" w:color="000000" w:sz="4" w:space="0"/>
              <w:right w:val="single" w:color="000000" w:sz="4" w:space="0"/>
            </w:tcBorders>
            <w:noWrap w:val="0"/>
            <w:vAlign w:val="center"/>
          </w:tcPr>
          <w:p w14:paraId="116CC8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539" w:type="dxa"/>
            <w:gridSpan w:val="2"/>
            <w:tcBorders>
              <w:top w:val="single" w:color="000000" w:sz="4" w:space="0"/>
              <w:left w:val="single" w:color="000000" w:sz="4" w:space="0"/>
              <w:bottom w:val="single" w:color="000000" w:sz="4" w:space="0"/>
              <w:right w:val="single" w:color="000000" w:sz="4" w:space="0"/>
            </w:tcBorders>
            <w:noWrap w:val="0"/>
            <w:vAlign w:val="center"/>
          </w:tcPr>
          <w:p w14:paraId="6CD3B6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r>
      <w:tr w14:paraId="5843C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9818" w:type="dxa"/>
            <w:gridSpan w:val="7"/>
            <w:tcBorders>
              <w:top w:val="single" w:color="000000" w:sz="4" w:space="0"/>
              <w:left w:val="single" w:color="000000" w:sz="4" w:space="0"/>
              <w:bottom w:val="single" w:color="000000" w:sz="4" w:space="0"/>
              <w:right w:val="single" w:color="000000" w:sz="4" w:space="0"/>
            </w:tcBorders>
            <w:noWrap/>
            <w:vAlign w:val="center"/>
          </w:tcPr>
          <w:p w14:paraId="6D8F2A5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b/>
                <w:bCs/>
                <w:sz w:val="21"/>
                <w:szCs w:val="21"/>
                <w:highlight w:val="none"/>
                <w:lang w:val="en-US" w:eastAsia="zh-CN"/>
              </w:rPr>
              <w:t>三、智慧档案库房综合管理系统</w:t>
            </w:r>
          </w:p>
        </w:tc>
      </w:tr>
      <w:tr w14:paraId="28B15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D9D0D62">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1500" w:type="dxa"/>
            <w:tcBorders>
              <w:top w:val="single" w:color="000000" w:sz="4" w:space="0"/>
              <w:left w:val="single" w:color="000000" w:sz="4" w:space="0"/>
              <w:bottom w:val="single" w:color="auto" w:sz="4" w:space="0"/>
              <w:right w:val="single" w:color="000000" w:sz="4" w:space="0"/>
            </w:tcBorders>
            <w:shd w:val="clear" w:color="auto" w:fill="FFFFFF"/>
            <w:noWrap w:val="0"/>
            <w:vAlign w:val="center"/>
          </w:tcPr>
          <w:p w14:paraId="6C52CA9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智慧库房管理应用</w:t>
            </w:r>
          </w:p>
        </w:tc>
        <w:tc>
          <w:tcPr>
            <w:tcW w:w="6712" w:type="dxa"/>
            <w:gridSpan w:val="2"/>
            <w:tcBorders>
              <w:top w:val="single" w:color="000000" w:sz="4" w:space="0"/>
              <w:left w:val="single" w:color="000000" w:sz="4" w:space="0"/>
              <w:bottom w:val="single" w:color="auto" w:sz="4" w:space="0"/>
              <w:right w:val="single" w:color="000000" w:sz="4" w:space="0"/>
            </w:tcBorders>
            <w:noWrap w:val="0"/>
            <w:vAlign w:val="top"/>
          </w:tcPr>
          <w:p w14:paraId="7060A079">
            <w:pPr>
              <w:keepNext w:val="0"/>
              <w:keepLines w:val="0"/>
              <w:widowControl/>
              <w:suppressLineNumbers w:val="0"/>
              <w:jc w:val="left"/>
              <w:textAlignment w:val="top"/>
              <w:rPr>
                <w:rStyle w:val="29"/>
                <w:rFonts w:hint="eastAsia" w:ascii="宋体" w:hAnsi="宋体" w:eastAsia="宋体" w:cs="宋体"/>
                <w:sz w:val="21"/>
                <w:szCs w:val="21"/>
                <w:highlight w:val="none"/>
                <w:lang w:val="en-US" w:eastAsia="zh-CN" w:bidi="ar"/>
              </w:rPr>
            </w:pPr>
            <w:r>
              <w:rPr>
                <w:rStyle w:val="29"/>
                <w:rFonts w:hint="eastAsia" w:ascii="宋体" w:hAnsi="宋体" w:eastAsia="宋体" w:cs="宋体"/>
                <w:sz w:val="21"/>
                <w:szCs w:val="21"/>
                <w:highlight w:val="none"/>
                <w:lang w:val="en-US" w:eastAsia="zh-CN" w:bidi="ar"/>
              </w:rPr>
              <w:t>智慧档案库房综合管理系统，软硬一体化平台，可开箱即用。自带1个千兆电口</w:t>
            </w:r>
            <w:r>
              <w:rPr>
                <w:rStyle w:val="29"/>
                <w:rFonts w:hint="eastAsia" w:ascii="宋体" w:hAnsi="宋体" w:eastAsia="宋体" w:cs="宋体"/>
                <w:color w:val="auto"/>
                <w:sz w:val="21"/>
                <w:szCs w:val="21"/>
                <w:highlight w:val="none"/>
                <w:lang w:val="en-US" w:eastAsia="zh-CN" w:bidi="ar"/>
              </w:rPr>
              <w:t>,≥3个2.5G电口，≥2个千兆光口；</w:t>
            </w:r>
            <w:r>
              <w:rPr>
                <w:rStyle w:val="29"/>
                <w:rFonts w:hint="eastAsia" w:ascii="宋体" w:hAnsi="宋体" w:eastAsia="宋体" w:cs="宋体"/>
                <w:sz w:val="21"/>
                <w:szCs w:val="21"/>
                <w:highlight w:val="none"/>
                <w:lang w:val="en-US" w:eastAsia="zh-CN" w:bidi="ar"/>
              </w:rPr>
              <w:t>≥256G固态硬盘，最大支持接入50个传感器，支持Zigbee、RS232、RS485等设备接入。</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1.采用B/S架构设计，可跨平台操作，支持集成智能密集架管理系统、RFID档案管理系统模块等。</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2.统一管理功能：支持档案库房环境管理、智能密集架管理、RFID智能档案管理、3D可视化、安防等多功能同一平台管理，支持采用模块按键切换，通过点击应用模块进入对应页面，并通过按钮进行切换，实现多系统统一入口，多应用同一系统平台管理的功能。</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3.系统管理包括用户管理、角色管理、菜单管理、部门管理、空间管理等。</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(1)用户管理：支持用户信息的新增、删除、修改、查询，用户信息包括：登录账号、用户名称、部门以及用户状态，支持配置正常和停用状态，以及分配角色。</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(2)角色管理：支持角色信息的新增、删除、修改、查询。</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(3)菜单管理：支持菜单信息的新增、删除、修改、查询，可配置菜单的名称、权限标识、状态、路由地址、排序、图表等。</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(4)部门管理：支持部门信息的新增、删除、修改、查询，支持设置下级部门，配置部门状态。</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(5)空间管理：支持所属空间的管理，对设备所属于的区域进行配置，包括空间信息的新增、删除、修改、查询，支持设置下级空间，</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4.智慧大屏具备多种可视化页面用于管理，通过不同维度的页面，展示对应的库房信息，包括了环境页面、安防页面、3D可视化页面、运维页面等多种维度的可视化页面，方便用户快速切换页面查看库房的详细信息：</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(1)3D可视化页面：对库房进行静态建模，1:1还原库房平面图，结合数据图表快速对库房进行可视化展现</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(2)库房环境页面：聚焦库房内的环境管理，展示库房内各类环境信息，通过各类实时数据的图表，包括实时温湿度、实时空气质量、设备实时状况、恒湿机实时控制等，快速获取每间库房的具体环境数据，实现库房的高效管理。</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3）库房安防页面：支持库房安防可视化管理，可在该页面上通过自动轮巡的方式查看库房内各个摄像头的实时画面，并展示监控设备的实时分析数据，如监控的设备的在线率与离线率的统计分析；另外可通过折线图的方式查看火灾、漏水、入侵的实时分析数据，并且支持切换日、周、月、年维度查看图表。同时可在该页面上快速查看门禁开门的历史数据以及对门禁进行一键快速开门。</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4）运维页面：展示该空间内的详细设备运行情况，包括通讯状况实时分析，可查看在线和离线的所有设备数据，以及各类设备运行的趋势折线图，支持查看该空间下的整体状况，鼠标悬停在各类图表上可展示对应的详细数据，辅助用户快速对相关空间的设备进行巡检运维。</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5.支持物联组网功能，通过系统对传感器、大型设备、网关、控制器等进行统一接入组网管理，快速对物联网设备进行组网分析，提高系统组网的管理效率，确保前端设备与平台链接的网络稳定性与设备健康度。</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1）智能组网分析：支持全局组网状态概览，提供数据看板页面，实时展示当前网关和设备的在线/离线状态和数量、信号质量分析等数据，方便用户在该页面检查设备情况，快速定位离线的设备或网关。支持切换“日、周、月、年”不同维度查看组网数据，并支持下载导出功能，为做统计报表提供数据支撑。</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2）网关信号管理：各类ZigBee设备需通过物联网网关后方可接入至平台，因此需对网关信号进行智能化管理，可管理网关的入网以及入网后的信号管理，支持在系统上对网关进行详细配置，通过手动录入或自动扫描，配置网关名称、IP地址等，在页面上支持网关设备的增删改查。支持切换通道，调整功率及OTA升级等功能，帮助用户更加高效的管理网关，维持网关信号的稳定。</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3）设备信号管理：支持ZigBee子设备、直连设备、采集器类设备、采集器子设备这4大类设备的网络信号管理，用于管理这些设备的入网，及入网后的信号管理，根据需要接入的设备类型，选择对应的页面模块，即可对设备进行增删改查，设备SN、MAC地址、所属网关、所属空间等，并查看对应设备的信号情况。支持OTA升级等多种操作，帮助用户更加高效的管理设备信号，维持设备信号的稳定。</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4）系统支持智能拓扑图功能，根据设备与网关的实际网络通信关系，自动生成拓扑结构图，在关键节点上展示接入的设备图标，用于区分设备类型（网关、传感器、控制器等），并可展示每个节点的网络信号质量；</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7.▲系统支持策略管理包括情景策略，定时策略、联动策略；</w:t>
            </w:r>
            <w:r>
              <w:rPr>
                <w:rFonts w:hint="eastAsia" w:ascii="宋体" w:hAnsi="宋体" w:eastAsia="宋体" w:cs="宋体"/>
                <w:i w:val="0"/>
                <w:iCs w:val="0"/>
                <w:color w:val="000000"/>
                <w:kern w:val="0"/>
                <w:sz w:val="21"/>
                <w:szCs w:val="21"/>
                <w:highlight w:val="none"/>
                <w:u w:val="none"/>
                <w:lang w:val="en-US" w:eastAsia="zh-CN" w:bidi="ar"/>
              </w:rPr>
              <w:t>；需提供加盖CMA或CNAS标志的第三方检测报告扫描件或复印件，提供检测机构网站检测报告查询截图。</w:t>
            </w:r>
          </w:p>
          <w:p w14:paraId="1D787464">
            <w:pPr>
              <w:keepNext w:val="0"/>
              <w:keepLines w:val="0"/>
              <w:widowControl/>
              <w:suppressLineNumbers w:val="0"/>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w:t>
            </w:r>
            <w:r>
              <w:rPr>
                <w:rStyle w:val="29"/>
                <w:rFonts w:hint="eastAsia" w:ascii="宋体" w:hAnsi="宋体" w:eastAsia="宋体" w:cs="宋体"/>
                <w:sz w:val="21"/>
                <w:szCs w:val="21"/>
                <w:highlight w:val="none"/>
                <w:lang w:val="en-US" w:eastAsia="zh-CN" w:bidi="ar"/>
              </w:rPr>
              <w:t>▲</w:t>
            </w:r>
            <w:r>
              <w:rPr>
                <w:rFonts w:hint="eastAsia" w:ascii="宋体" w:hAnsi="宋体" w:eastAsia="宋体" w:cs="宋体"/>
                <w:i w:val="0"/>
                <w:iCs w:val="0"/>
                <w:color w:val="000000"/>
                <w:kern w:val="0"/>
                <w:sz w:val="21"/>
                <w:szCs w:val="21"/>
                <w:highlight w:val="none"/>
                <w:u w:val="none"/>
                <w:lang w:val="en-US" w:eastAsia="zh-CN" w:bidi="ar"/>
              </w:rPr>
              <w:t>支持根据特定的情景、特定的时间、自定义条件来触发相关设备的操作；需提供加盖CMA或CNAS标志的第三方检测报告扫描件或复印件，提供检测机构网站检测报告查询截图。</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8.具备智能应用管理系统，包含了多个子系统，如智能监控系统、智能门禁系统、恒温恒湿恒净系统、安防监控系统等，可在各个子系统内，对视频监控、门禁、恒温恒湿恒净、漏水、红外入侵、火灾等内容进行精细化管理：</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（1）▲系统支持监控视频管理、支持对视频进行抓拍，生成抓拍文件；智能门禁管理、支持点击门禁快捷查看门禁详情、门禁历史出入记录</w:t>
            </w:r>
            <w:r>
              <w:rPr>
                <w:rFonts w:hint="eastAsia" w:ascii="宋体" w:hAnsi="宋体" w:eastAsia="宋体" w:cs="宋体"/>
                <w:i w:val="0"/>
                <w:iCs w:val="0"/>
                <w:color w:val="000000"/>
                <w:kern w:val="0"/>
                <w:sz w:val="21"/>
                <w:szCs w:val="21"/>
                <w:highlight w:val="none"/>
                <w:u w:val="none"/>
                <w:lang w:val="en-US" w:eastAsia="zh-CN" w:bidi="ar"/>
              </w:rPr>
              <w:t>；需提供加盖CMA或CNAS标志的第三方检测报告扫描件或复印件，提供检测机构网站检测报告查询截图。</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2）智能门禁管理系统：支持实时门禁管理功能，支持门禁在线数量、离线数量统计，通过列表可直接查看接入的所有门禁，包括对应门禁的在线和离线状态，在线显示蓝色，离线显示灰色；支持点击门禁快捷查看门禁详情、门禁记录、用户授权、远程开门等，支持批量远程开门的功能。支持查看所有门禁的出入记录，通过列表的方式展示对应门禁进入的详细情况，包括门禁名称、所属房间、解锁方式、开门时间等信息，支持天、周、月的时间维度查看进出记录的信息。支持门禁用户管理功能，分配不同的用户权限管理门禁，如超级管理员可授权远程开门、人脸识别、门禁卡、密码等授权类型，可对用户进行增删改查，方便多角色用户管理不同门禁。</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3）恒温恒湿恒净系统：支持库房内的温度、湿度、洁净度的状态进行智能恒定管理，可查看每间库房内的实时温湿度及空气质量状况，并支持查看对应指标的最高、最低、平均三个数值；同时通过图表查阅恒温恒湿恒净状态的历史分析数据，可按照日、周、月、年切换时间维度查看历史数据，图表支持鼠标滚轮放大与缩小，并支持点击查看详情；支持在该页面中对温度、湿度、洁净度快速进行控制操作，包括手动快速执行，例如一键打开/关闭所有空调或者恒湿机等，同时支持对单个设备进行细节调控，可在组件上查看该设备的实际运行情况，并根据需求对单个设备控制其工作模式、风速、温度、湿度等，实现设备的精细化管理。</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4）安防监控系统：具有火灾状态检测、漏水检测、安防入侵检测、声光报警等功能。支持按房间和子空间进行统计，选择对应空间后，展示的数据和状态均为该空间所属，用于快速查看并管理各个空间的安防情况。对库房内的安防整体状态进行管理，结合前端传感器采集的数据，可对库房内的安防状态进行实时和历史数据分析，具备状态实时高亮提醒功能，正常状态为高亮蓝色，异常状态为高亮红色，并提供可视化图表查看对应空间的安防整体状况，可按日、周、月、年四个时间维度查看历史异常报警数据，包括安防报警次数、报警趋势统计、报警分布统计。</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9.支持密集架监控管理功能：支持密集架总览，可以显示当前密集架位置区号、列号，显示过道内是否有人、共有密集架总组数、可存档案数量、已存档案数量、使用占比百分比；支持密集架控制，实现密集架锁定、解锁、合架、打开、通风操作，采用形象图标展示密集架排列并各列具有唯一列序号，可以选择密集架进行向左、向右移动及停止等远程操作；支持密集架工作状态同步，可以显示各密集架当前温度和湿度、动画同频展示密集架运动方式</w:t>
            </w:r>
            <w:r>
              <w:rPr>
                <w:rStyle w:val="29"/>
                <w:rFonts w:hint="eastAsia" w:ascii="宋体" w:hAnsi="宋体" w:eastAsia="宋体" w:cs="宋体"/>
                <w:sz w:val="21"/>
                <w:szCs w:val="21"/>
                <w:highlight w:val="none"/>
                <w:lang w:val="en-US" w:eastAsia="zh-CN" w:bidi="ar"/>
              </w:rPr>
              <w:br w:type="textWrapping"/>
            </w:r>
            <w:r>
              <w:rPr>
                <w:rStyle w:val="29"/>
                <w:rFonts w:hint="eastAsia" w:ascii="宋体" w:hAnsi="宋体" w:eastAsia="宋体" w:cs="宋体"/>
                <w:sz w:val="21"/>
                <w:szCs w:val="21"/>
                <w:highlight w:val="none"/>
                <w:lang w:val="en-US" w:eastAsia="zh-CN" w:bidi="ar"/>
              </w:rPr>
              <w:t>10.支持RFID档案管理功能：可显示档案库存总存放数量、出库数量、在库数量，支持档案查找、档案盘点、档案入库、档案出库功能，可显示档案状态、显示档案位置，点击按钮支持开启档案相应位置的密集架列。</w:t>
            </w:r>
          </w:p>
        </w:tc>
        <w:tc>
          <w:tcPr>
            <w:tcW w:w="486" w:type="dxa"/>
            <w:gridSpan w:val="2"/>
            <w:tcBorders>
              <w:top w:val="single" w:color="000000" w:sz="4" w:space="0"/>
              <w:left w:val="single" w:color="000000" w:sz="4" w:space="0"/>
              <w:bottom w:val="single" w:color="auto" w:sz="4" w:space="0"/>
              <w:right w:val="single" w:color="000000" w:sz="4" w:space="0"/>
            </w:tcBorders>
            <w:noWrap w:val="0"/>
            <w:vAlign w:val="center"/>
          </w:tcPr>
          <w:p w14:paraId="1EEB080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378" w:type="dxa"/>
            <w:tcBorders>
              <w:top w:val="single" w:color="000000" w:sz="4" w:space="0"/>
              <w:left w:val="single" w:color="000000" w:sz="4" w:space="0"/>
              <w:bottom w:val="single" w:color="auto" w:sz="4" w:space="0"/>
              <w:right w:val="single" w:color="000000" w:sz="4" w:space="0"/>
            </w:tcBorders>
            <w:noWrap w:val="0"/>
            <w:vAlign w:val="center"/>
          </w:tcPr>
          <w:p w14:paraId="695CBB62">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台</w:t>
            </w:r>
          </w:p>
        </w:tc>
      </w:tr>
      <w:tr w14:paraId="14FF6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73FDC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15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E11BEB8">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基础传感器授权</w:t>
            </w:r>
          </w:p>
        </w:tc>
        <w:tc>
          <w:tcPr>
            <w:tcW w:w="6712" w:type="dxa"/>
            <w:gridSpan w:val="2"/>
            <w:tcBorders>
              <w:top w:val="single" w:color="auto" w:sz="4" w:space="0"/>
              <w:left w:val="single" w:color="auto" w:sz="4" w:space="0"/>
              <w:bottom w:val="single" w:color="auto" w:sz="4" w:space="0"/>
              <w:right w:val="single" w:color="auto" w:sz="4" w:space="0"/>
            </w:tcBorders>
            <w:noWrap w:val="0"/>
            <w:vAlign w:val="center"/>
          </w:tcPr>
          <w:p w14:paraId="22D40670">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根据物联平台传感器接入授权</w:t>
            </w:r>
          </w:p>
        </w:tc>
        <w:tc>
          <w:tcPr>
            <w:tcW w:w="486" w:type="dxa"/>
            <w:gridSpan w:val="2"/>
            <w:tcBorders>
              <w:top w:val="single" w:color="auto" w:sz="4" w:space="0"/>
              <w:left w:val="single" w:color="auto" w:sz="4" w:space="0"/>
              <w:bottom w:val="single" w:color="auto" w:sz="4" w:space="0"/>
              <w:right w:val="single" w:color="auto" w:sz="4" w:space="0"/>
            </w:tcBorders>
            <w:noWrap w:val="0"/>
            <w:vAlign w:val="center"/>
          </w:tcPr>
          <w:p w14:paraId="7177928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24</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719D6616">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套</w:t>
            </w:r>
          </w:p>
        </w:tc>
      </w:tr>
      <w:tr w14:paraId="75B1E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F4E22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w:t>
            </w:r>
          </w:p>
        </w:tc>
        <w:tc>
          <w:tcPr>
            <w:tcW w:w="15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8A79452">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智防告警功能模块</w:t>
            </w:r>
          </w:p>
        </w:tc>
        <w:tc>
          <w:tcPr>
            <w:tcW w:w="6712" w:type="dxa"/>
            <w:gridSpan w:val="2"/>
            <w:tcBorders>
              <w:top w:val="single" w:color="auto" w:sz="4" w:space="0"/>
              <w:left w:val="single" w:color="auto" w:sz="4" w:space="0"/>
              <w:bottom w:val="single" w:color="auto" w:sz="4" w:space="0"/>
              <w:right w:val="single" w:color="auto" w:sz="4" w:space="0"/>
            </w:tcBorders>
            <w:noWrap w:val="0"/>
            <w:vAlign w:val="center"/>
          </w:tcPr>
          <w:p w14:paraId="5FEC81F6">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智能告警功能模块，支持自定义告警策略，搭配电话短信报警网关可实现平台、短信、电话等智能告警方式，实现档案室7*24无人智能告警</w:t>
            </w:r>
          </w:p>
        </w:tc>
        <w:tc>
          <w:tcPr>
            <w:tcW w:w="486" w:type="dxa"/>
            <w:gridSpan w:val="2"/>
            <w:tcBorders>
              <w:top w:val="single" w:color="auto" w:sz="4" w:space="0"/>
              <w:left w:val="single" w:color="auto" w:sz="4" w:space="0"/>
              <w:bottom w:val="single" w:color="auto" w:sz="4" w:space="0"/>
              <w:right w:val="single" w:color="auto" w:sz="4" w:space="0"/>
            </w:tcBorders>
            <w:noWrap w:val="0"/>
            <w:vAlign w:val="center"/>
          </w:tcPr>
          <w:p w14:paraId="5168983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539756B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套</w:t>
            </w:r>
          </w:p>
        </w:tc>
      </w:tr>
      <w:tr w14:paraId="69B22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10FE7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w:t>
            </w:r>
          </w:p>
        </w:tc>
        <w:tc>
          <w:tcPr>
            <w:tcW w:w="15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04553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平台可视化管理功能模块</w:t>
            </w:r>
          </w:p>
        </w:tc>
        <w:tc>
          <w:tcPr>
            <w:tcW w:w="6712" w:type="dxa"/>
            <w:gridSpan w:val="2"/>
            <w:tcBorders>
              <w:top w:val="single" w:color="auto" w:sz="4" w:space="0"/>
              <w:left w:val="single" w:color="auto" w:sz="4" w:space="0"/>
              <w:bottom w:val="single" w:color="auto" w:sz="4" w:space="0"/>
              <w:right w:val="single" w:color="auto" w:sz="4" w:space="0"/>
            </w:tcBorders>
            <w:noWrap w:val="0"/>
            <w:vAlign w:val="center"/>
          </w:tcPr>
          <w:p w14:paraId="5AD9810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可视化管理功能模块，支持对平台进行可视化管理，支持自定义创建智慧档案大屏，可按需自定义功能模块可视化呈现</w:t>
            </w:r>
          </w:p>
        </w:tc>
        <w:tc>
          <w:tcPr>
            <w:tcW w:w="486" w:type="dxa"/>
            <w:gridSpan w:val="2"/>
            <w:tcBorders>
              <w:top w:val="single" w:color="auto" w:sz="4" w:space="0"/>
              <w:left w:val="single" w:color="auto" w:sz="4" w:space="0"/>
              <w:bottom w:val="single" w:color="auto" w:sz="4" w:space="0"/>
              <w:right w:val="single" w:color="auto" w:sz="4" w:space="0"/>
            </w:tcBorders>
            <w:noWrap w:val="0"/>
            <w:vAlign w:val="center"/>
          </w:tcPr>
          <w:p w14:paraId="62A4FAA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26DDBF0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套</w:t>
            </w:r>
          </w:p>
        </w:tc>
      </w:tr>
      <w:tr w14:paraId="5E822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14275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w:t>
            </w:r>
          </w:p>
        </w:tc>
        <w:tc>
          <w:tcPr>
            <w:tcW w:w="15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79094F">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智能密集架对接模块</w:t>
            </w:r>
          </w:p>
        </w:tc>
        <w:tc>
          <w:tcPr>
            <w:tcW w:w="6712" w:type="dxa"/>
            <w:gridSpan w:val="2"/>
            <w:tcBorders>
              <w:top w:val="single" w:color="auto" w:sz="4" w:space="0"/>
              <w:left w:val="single" w:color="auto" w:sz="4" w:space="0"/>
              <w:bottom w:val="single" w:color="auto" w:sz="4" w:space="0"/>
              <w:right w:val="single" w:color="auto" w:sz="4" w:space="0"/>
            </w:tcBorders>
            <w:noWrap w:val="0"/>
            <w:vAlign w:val="center"/>
          </w:tcPr>
          <w:p w14:paraId="299B66F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纸质档案存放功能模块，可对接各类密集架实现纸质档案存放智能化管理，可对接智能密集架和RFID盒定位密集架、RFID档案卷定位密集架。实现可视化的对纸质档案进行高效管理，高效可视化的控制密集架的开关。</w:t>
            </w:r>
          </w:p>
        </w:tc>
        <w:tc>
          <w:tcPr>
            <w:tcW w:w="486" w:type="dxa"/>
            <w:gridSpan w:val="2"/>
            <w:tcBorders>
              <w:top w:val="single" w:color="auto" w:sz="4" w:space="0"/>
              <w:left w:val="single" w:color="auto" w:sz="4" w:space="0"/>
              <w:bottom w:val="single" w:color="auto" w:sz="4" w:space="0"/>
              <w:right w:val="single" w:color="auto" w:sz="4" w:space="0"/>
            </w:tcBorders>
            <w:noWrap w:val="0"/>
            <w:vAlign w:val="center"/>
          </w:tcPr>
          <w:p w14:paraId="7625BC81">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77B2D45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套</w:t>
            </w:r>
          </w:p>
        </w:tc>
      </w:tr>
      <w:tr w14:paraId="4CC4C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D565A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w:t>
            </w:r>
          </w:p>
        </w:tc>
        <w:tc>
          <w:tcPr>
            <w:tcW w:w="15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C43E2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系统集成费</w:t>
            </w:r>
          </w:p>
        </w:tc>
        <w:tc>
          <w:tcPr>
            <w:tcW w:w="6712" w:type="dxa"/>
            <w:gridSpan w:val="2"/>
            <w:tcBorders>
              <w:top w:val="single" w:color="auto" w:sz="4" w:space="0"/>
              <w:left w:val="single" w:color="auto" w:sz="4" w:space="0"/>
              <w:bottom w:val="single" w:color="auto" w:sz="4" w:space="0"/>
              <w:right w:val="single" w:color="auto" w:sz="4" w:space="0"/>
            </w:tcBorders>
            <w:noWrap w:val="0"/>
            <w:vAlign w:val="center"/>
          </w:tcPr>
          <w:p w14:paraId="7CC0C149">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包含本项目设备的运输、装卸、搬运等，以及软件系统调试和培训，包括建设内容的系统设备调试，系统的使用培训等。</w:t>
            </w:r>
          </w:p>
        </w:tc>
        <w:tc>
          <w:tcPr>
            <w:tcW w:w="486" w:type="dxa"/>
            <w:gridSpan w:val="2"/>
            <w:tcBorders>
              <w:top w:val="single" w:color="auto" w:sz="4" w:space="0"/>
              <w:left w:val="single" w:color="auto" w:sz="4" w:space="0"/>
              <w:bottom w:val="single" w:color="auto" w:sz="4" w:space="0"/>
              <w:right w:val="single" w:color="auto" w:sz="4" w:space="0"/>
            </w:tcBorders>
            <w:noWrap w:val="0"/>
            <w:vAlign w:val="center"/>
          </w:tcPr>
          <w:p w14:paraId="1ED7A8D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489418E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项</w:t>
            </w:r>
          </w:p>
        </w:tc>
      </w:tr>
      <w:tr w14:paraId="6AB60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0FFE5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w:t>
            </w:r>
          </w:p>
        </w:tc>
        <w:tc>
          <w:tcPr>
            <w:tcW w:w="150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DA52E6">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施工布线费</w:t>
            </w:r>
          </w:p>
        </w:tc>
        <w:tc>
          <w:tcPr>
            <w:tcW w:w="6712" w:type="dxa"/>
            <w:gridSpan w:val="2"/>
            <w:tcBorders>
              <w:top w:val="single" w:color="auto" w:sz="4" w:space="0"/>
              <w:left w:val="single" w:color="auto" w:sz="4" w:space="0"/>
              <w:bottom w:val="single" w:color="auto" w:sz="4" w:space="0"/>
              <w:right w:val="single" w:color="auto" w:sz="4" w:space="0"/>
            </w:tcBorders>
            <w:noWrap w:val="0"/>
            <w:vAlign w:val="center"/>
          </w:tcPr>
          <w:p w14:paraId="4E5BF31F">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包含设备实施辅材和综合布线线材、施工人工费用、设备安装费用。辅材包含阻燃线缆、密封胶、膨胀螺丝、支架、压线帽、电源插头、卡扣、86盒、对接线、开关卡槽、绕线管、结构胶等；包含布线穿管、设备安装综合费用</w:t>
            </w:r>
          </w:p>
        </w:tc>
        <w:tc>
          <w:tcPr>
            <w:tcW w:w="486" w:type="dxa"/>
            <w:gridSpan w:val="2"/>
            <w:tcBorders>
              <w:top w:val="single" w:color="auto" w:sz="4" w:space="0"/>
              <w:left w:val="single" w:color="auto" w:sz="4" w:space="0"/>
              <w:bottom w:val="single" w:color="auto" w:sz="4" w:space="0"/>
              <w:right w:val="single" w:color="auto" w:sz="4" w:space="0"/>
            </w:tcBorders>
            <w:noWrap w:val="0"/>
            <w:vAlign w:val="center"/>
          </w:tcPr>
          <w:p w14:paraId="65CAA4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27374C7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项</w:t>
            </w:r>
          </w:p>
        </w:tc>
      </w:tr>
    </w:tbl>
    <w:p w14:paraId="6D9F6E21">
      <w:pPr>
        <w:rPr>
          <w:rFonts w:hint="eastAsia" w:ascii="宋体" w:hAnsi="宋体" w:eastAsia="宋体" w:cs="宋体"/>
          <w:highlight w:val="none"/>
        </w:rPr>
      </w:pPr>
    </w:p>
    <w:p w14:paraId="462819A0">
      <w:pPr>
        <w:pStyle w:val="26"/>
        <w:keepNext w:val="0"/>
        <w:keepLines w:val="0"/>
        <w:pageBreakBefore w:val="0"/>
        <w:widowControl w:val="0"/>
        <w:kinsoku/>
        <w:wordWrap/>
        <w:overflowPunct/>
        <w:topLinePunct w:val="0"/>
        <w:autoSpaceDE/>
        <w:autoSpaceDN/>
        <w:bidi w:val="0"/>
        <w:adjustRightInd/>
        <w:snapToGrid/>
        <w:spacing w:before="78"/>
        <w:ind w:left="112" w:right="108" w:firstLine="0" w:firstLineChars="0"/>
        <w:jc w:val="center"/>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r>
        <w:rPr>
          <w:rFonts w:hint="eastAsia" w:ascii="宋体" w:hAnsi="宋体" w:eastAsia="宋体" w:cs="宋体"/>
          <w:b/>
          <w:bCs/>
          <w:kern w:val="2"/>
          <w:sz w:val="28"/>
          <w:szCs w:val="32"/>
          <w:highlight w:val="none"/>
          <w:lang w:val="en-US" w:eastAsia="zh-CN" w:bidi="ar-SA"/>
        </w:rPr>
        <w:t>（三）智能气体消防系统技术参数要求</w:t>
      </w:r>
    </w:p>
    <w:tbl>
      <w:tblPr>
        <w:tblStyle w:val="15"/>
        <w:tblW w:w="92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0"/>
        <w:gridCol w:w="966"/>
        <w:gridCol w:w="6294"/>
        <w:gridCol w:w="675"/>
        <w:gridCol w:w="696"/>
      </w:tblGrid>
      <w:tr w14:paraId="43917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E0A35B3">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highlight w:val="none"/>
                <w:u w:val="none"/>
                <w:shd w:val="clear" w:color="auto" w:fill="auto"/>
              </w:rPr>
            </w:pPr>
            <w:r>
              <w:rPr>
                <w:rFonts w:hint="eastAsia" w:ascii="宋体" w:hAnsi="宋体" w:eastAsia="宋体" w:cs="宋体"/>
                <w:b/>
                <w:bCs/>
                <w:i w:val="0"/>
                <w:iCs w:val="0"/>
                <w:color w:val="000000"/>
                <w:kern w:val="0"/>
                <w:sz w:val="21"/>
                <w:szCs w:val="21"/>
                <w:highlight w:val="none"/>
                <w:u w:val="none"/>
                <w:shd w:val="clear" w:color="auto" w:fill="auto"/>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5223554F">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bCs/>
                <w:i w:val="0"/>
                <w:iCs w:val="0"/>
                <w:color w:val="000000"/>
                <w:kern w:val="0"/>
                <w:sz w:val="21"/>
                <w:szCs w:val="21"/>
                <w:highlight w:val="none"/>
                <w:u w:val="none"/>
                <w:shd w:val="clear" w:color="auto" w:fill="auto"/>
                <w:lang w:val="en-US" w:eastAsia="zh-CN" w:bidi="ar"/>
              </w:rPr>
              <w:t>项目</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79CBDDFF">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1"/>
                <w:szCs w:val="21"/>
                <w:highlight w:val="none"/>
                <w:u w:val="none"/>
                <w:shd w:val="clear" w:color="auto" w:fill="auto"/>
              </w:rPr>
            </w:pPr>
            <w:r>
              <w:rPr>
                <w:rFonts w:hint="eastAsia" w:ascii="宋体" w:hAnsi="宋体" w:eastAsia="宋体" w:cs="宋体"/>
                <w:b/>
                <w:bCs/>
                <w:i w:val="0"/>
                <w:iCs w:val="0"/>
                <w:color w:val="auto"/>
                <w:kern w:val="0"/>
                <w:sz w:val="21"/>
                <w:szCs w:val="21"/>
                <w:highlight w:val="none"/>
                <w:u w:val="none"/>
                <w:shd w:val="clear" w:color="auto" w:fill="auto"/>
                <w:lang w:val="en-US" w:eastAsia="zh-CN" w:bidi="ar"/>
              </w:rPr>
              <w:t>参数</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75E353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highlight w:val="none"/>
                <w:u w:val="none"/>
                <w:shd w:val="clear" w:color="auto" w:fill="auto"/>
              </w:rPr>
            </w:pPr>
            <w:r>
              <w:rPr>
                <w:rFonts w:hint="eastAsia" w:ascii="宋体" w:hAnsi="宋体" w:eastAsia="宋体" w:cs="宋体"/>
                <w:b/>
                <w:bCs/>
                <w:i w:val="0"/>
                <w:iCs w:val="0"/>
                <w:color w:val="000000"/>
                <w:kern w:val="0"/>
                <w:sz w:val="21"/>
                <w:szCs w:val="21"/>
                <w:highlight w:val="none"/>
                <w:u w:val="none"/>
                <w:shd w:val="clear" w:color="auto" w:fill="auto"/>
                <w:lang w:val="en-US" w:eastAsia="zh-CN" w:bidi="ar"/>
              </w:rPr>
              <w:t>单位</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F0C84D6">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highlight w:val="none"/>
                <w:u w:val="none"/>
                <w:shd w:val="clear" w:color="auto" w:fill="auto"/>
              </w:rPr>
            </w:pPr>
            <w:r>
              <w:rPr>
                <w:rFonts w:hint="eastAsia" w:ascii="宋体" w:hAnsi="宋体" w:eastAsia="宋体" w:cs="宋体"/>
                <w:b/>
                <w:bCs/>
                <w:i w:val="0"/>
                <w:iCs w:val="0"/>
                <w:color w:val="000000"/>
                <w:kern w:val="0"/>
                <w:sz w:val="21"/>
                <w:szCs w:val="21"/>
                <w:highlight w:val="none"/>
                <w:u w:val="none"/>
                <w:shd w:val="clear" w:color="auto" w:fill="auto"/>
                <w:lang w:val="en-US" w:eastAsia="zh-CN" w:bidi="ar"/>
              </w:rPr>
              <w:t>数量</w:t>
            </w:r>
          </w:p>
        </w:tc>
      </w:tr>
      <w:tr w14:paraId="7909B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295DAC5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63D4EC23">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智慧消防灭火控制系统</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55774014">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1.操作系统：V1.0版本</w:t>
            </w:r>
          </w:p>
          <w:p w14:paraId="0B22CC27">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2.工作环境 ：温度:10℃～+55℃，相对湿度≤95%（40℃±2℃无凝露）</w:t>
            </w:r>
          </w:p>
          <w:p w14:paraId="50234267">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3.工作电压：AC220V±20%/50Hz</w:t>
            </w:r>
          </w:p>
          <w:p w14:paraId="01F90566">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4.容量：≥324点</w:t>
            </w:r>
          </w:p>
          <w:p w14:paraId="54D8B422">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5.电源：D≥C24V/≥6A(标配)</w:t>
            </w:r>
          </w:p>
          <w:p w14:paraId="2221EE35">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6.备用电源：DC≥12V/≥7AH(标配)</w:t>
            </w:r>
          </w:p>
          <w:p w14:paraId="61A6551B">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7.输出触点容量：≥7A/DC≥24V</w:t>
            </w:r>
          </w:p>
          <w:p w14:paraId="3C375326">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8.输出电流：≤3A</w:t>
            </w:r>
          </w:p>
          <w:p w14:paraId="66DC0DC0">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9.打印机：专用微型打印机(标配)</w:t>
            </w:r>
          </w:p>
          <w:p w14:paraId="5320DB95">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10.分布式智能联动控制系统,无极性信号二总线,方便施工布线,避免接线错误。</w:t>
            </w:r>
          </w:p>
          <w:p w14:paraId="41FB7F90">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11.采用模糊控制理论对数据进行处理，从根本上消除漏报、误报，提高了稳定性。</w:t>
            </w:r>
          </w:p>
          <w:p w14:paraId="36121758">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12.回路内终端设备地址码可任意混编，提高回路地址码利用率。</w:t>
            </w:r>
          </w:p>
          <w:p w14:paraId="605283A8">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13.控制器可以自动识别回路内终端设备地址重码，杜绝灭火分区串扰启动。</w:t>
            </w:r>
          </w:p>
          <w:p w14:paraId="1BC031B1">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14.行业内独家火警、故障信号主动上传技术，使控制器响应时间只需2秒。</w:t>
            </w:r>
          </w:p>
          <w:p w14:paraId="3913BDEC">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15.可使用U盘进行数据备份和恢复。</w:t>
            </w:r>
          </w:p>
          <w:p w14:paraId="3505D880">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16.每个灭火分区具有独立的声光启/停按键和手/自动转换开关，可独立设置自动放气条件和自动放气条件延时时间。</w:t>
            </w:r>
          </w:p>
          <w:p w14:paraId="5CA8D54B">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17.独有的生产工艺，在高温、高湿、高寒及高海拔的环境下都能正常使用。</w:t>
            </w:r>
          </w:p>
          <w:p w14:paraId="356A6D6D">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18.ESD静电防护等级8000V，抗干扰能力更强，专用防雷技术，减少或避免雷击造成的设备损坏。</w:t>
            </w:r>
          </w:p>
          <w:p w14:paraId="0851D15F">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19.24小时无人值守，发生火情将自动灭火。</w:t>
            </w:r>
          </w:p>
          <w:p w14:paraId="4EE2B430">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i w:val="0"/>
                <w:iCs w:val="0"/>
                <w:color w:val="auto"/>
                <w:kern w:val="0"/>
                <w:sz w:val="21"/>
                <w:szCs w:val="21"/>
                <w:highlight w:val="none"/>
                <w:u w:val="none"/>
                <w:shd w:val="clear" w:color="auto" w:fill="auto"/>
                <w:lang w:val="en-US" w:eastAsia="zh-CN" w:bidi="ar"/>
              </w:rPr>
              <w:t>20.档案管理专用系统：有效保护档案管理系统中的子系统，方便对接档案管理一体化平台。</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9E8658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台</w:t>
            </w:r>
          </w:p>
        </w:tc>
        <w:tc>
          <w:tcPr>
            <w:tcW w:w="696" w:type="dxa"/>
            <w:tcBorders>
              <w:top w:val="single" w:color="000000" w:sz="4" w:space="0"/>
              <w:left w:val="single" w:color="000000" w:sz="4" w:space="0"/>
              <w:bottom w:val="single" w:color="000000" w:sz="4" w:space="0"/>
              <w:right w:val="single" w:color="000000" w:sz="4" w:space="0"/>
            </w:tcBorders>
            <w:noWrap/>
            <w:vAlign w:val="center"/>
          </w:tcPr>
          <w:p w14:paraId="18CB85F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w:t>
            </w:r>
          </w:p>
        </w:tc>
      </w:tr>
      <w:tr w14:paraId="32F84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9F4E7E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47D606E6">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智慧消防系统启动装置</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740058F4">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1.工作电压：≥DC24V；</w:t>
            </w:r>
          </w:p>
          <w:p w14:paraId="2EF82986">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2.开启压力：≥90N</w:t>
            </w:r>
          </w:p>
          <w:p w14:paraId="3D5CA686">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3.底座材质：铜合金HPb59-1。</w:t>
            </w:r>
          </w:p>
          <w:p w14:paraId="79E5B14D">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4.智慧消防系统启动装置</w:t>
            </w:r>
          </w:p>
          <w:p w14:paraId="6DC72144">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i w:val="0"/>
                <w:iCs w:val="0"/>
                <w:color w:val="auto"/>
                <w:kern w:val="0"/>
                <w:sz w:val="21"/>
                <w:szCs w:val="21"/>
                <w:highlight w:val="none"/>
                <w:u w:val="none"/>
                <w:shd w:val="clear" w:color="auto" w:fill="auto"/>
                <w:lang w:val="en-US" w:eastAsia="zh-CN" w:bidi="ar"/>
              </w:rPr>
              <w:t>符合CMA或CNAS国际标准，其检测内容包括：Cu57.00~60.00，Fe≤0.50，Pb0.80~1.90，Ni≤0.5，Zn余量，Cu+所列元素总和，≥99.0。</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BFD45C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个</w:t>
            </w:r>
          </w:p>
        </w:tc>
        <w:tc>
          <w:tcPr>
            <w:tcW w:w="696" w:type="dxa"/>
            <w:tcBorders>
              <w:top w:val="single" w:color="000000" w:sz="4" w:space="0"/>
              <w:left w:val="single" w:color="000000" w:sz="4" w:space="0"/>
              <w:bottom w:val="single" w:color="000000" w:sz="4" w:space="0"/>
              <w:right w:val="single" w:color="000000" w:sz="4" w:space="0"/>
            </w:tcBorders>
            <w:noWrap/>
            <w:vAlign w:val="center"/>
          </w:tcPr>
          <w:p w14:paraId="4C21055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w:t>
            </w:r>
          </w:p>
        </w:tc>
      </w:tr>
      <w:tr w14:paraId="01A47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477ACAD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303D7DAF">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智慧消防系统信号传输装置</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30FBA369">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1.工作电压：≥DC24V；</w:t>
            </w:r>
          </w:p>
          <w:p w14:paraId="43BB635A">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2.开启压力：≤0.45MPa</w:t>
            </w:r>
          </w:p>
          <w:p w14:paraId="30E084C2">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3.信号传输装置：材质为HPb59-1。</w:t>
            </w:r>
          </w:p>
          <w:p w14:paraId="6AD27AF1">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i w:val="0"/>
                <w:iCs w:val="0"/>
                <w:color w:val="auto"/>
                <w:kern w:val="0"/>
                <w:sz w:val="21"/>
                <w:szCs w:val="21"/>
                <w:highlight w:val="none"/>
                <w:u w:val="none"/>
                <w:shd w:val="clear" w:color="auto" w:fill="auto"/>
                <w:lang w:val="en-US" w:eastAsia="zh-CN" w:bidi="ar"/>
              </w:rPr>
              <w:t>4.智慧消防系统信号传输装置符合CMA或CNAS国际标准，其检测内容包括：Cu57.00~60.00，Fe≤0.50，Pb0.80~1.90，Ni≤0.5，Zn余量，Cu+所列元素总和，≥99.0。</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3246281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个</w:t>
            </w:r>
          </w:p>
        </w:tc>
        <w:tc>
          <w:tcPr>
            <w:tcW w:w="696" w:type="dxa"/>
            <w:tcBorders>
              <w:top w:val="single" w:color="000000" w:sz="4" w:space="0"/>
              <w:left w:val="single" w:color="000000" w:sz="4" w:space="0"/>
              <w:bottom w:val="single" w:color="000000" w:sz="4" w:space="0"/>
              <w:right w:val="single" w:color="000000" w:sz="4" w:space="0"/>
            </w:tcBorders>
            <w:noWrap/>
            <w:vAlign w:val="center"/>
          </w:tcPr>
          <w:p w14:paraId="4D84CB1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w:t>
            </w:r>
          </w:p>
        </w:tc>
      </w:tr>
      <w:tr w14:paraId="2F02F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65DF455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4252E148">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点型感烟探测器</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19EBA610">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1.工作电压：总线≥24V</w:t>
            </w:r>
          </w:p>
          <w:p w14:paraId="3E973FA2">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2.工作指示：状态指示灯：巡检时闪烁，报警时常亮</w:t>
            </w:r>
          </w:p>
          <w:p w14:paraId="3B0AD66F">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3.壳体材料：ABS,白色</w:t>
            </w:r>
          </w:p>
          <w:p w14:paraId="3615B742">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4.编码方式：通过编码器可进行电编码，地址编码1-324任选</w:t>
            </w:r>
          </w:p>
          <w:p w14:paraId="42486B0D">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i w:val="0"/>
                <w:iCs w:val="0"/>
                <w:color w:val="auto"/>
                <w:kern w:val="0"/>
                <w:sz w:val="21"/>
                <w:szCs w:val="21"/>
                <w:highlight w:val="none"/>
                <w:u w:val="none"/>
                <w:shd w:val="clear" w:color="auto" w:fill="auto"/>
                <w:lang w:val="en-US" w:eastAsia="zh-CN" w:bidi="ar"/>
              </w:rPr>
              <w:t>5.外形尺寸：≥φ105×43mm（带有底座）</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80845A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个</w:t>
            </w:r>
          </w:p>
        </w:tc>
        <w:tc>
          <w:tcPr>
            <w:tcW w:w="696" w:type="dxa"/>
            <w:tcBorders>
              <w:top w:val="single" w:color="000000" w:sz="4" w:space="0"/>
              <w:left w:val="single" w:color="000000" w:sz="4" w:space="0"/>
              <w:bottom w:val="single" w:color="000000" w:sz="4" w:space="0"/>
              <w:right w:val="single" w:color="000000" w:sz="4" w:space="0"/>
            </w:tcBorders>
            <w:noWrap/>
            <w:vAlign w:val="center"/>
          </w:tcPr>
          <w:p w14:paraId="09B68A2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4</w:t>
            </w:r>
          </w:p>
        </w:tc>
      </w:tr>
      <w:tr w14:paraId="4E064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1328AF6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0872A05F">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点型感温探测器</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4F78D1BB">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1.工作电压：总线24V</w:t>
            </w:r>
          </w:p>
          <w:p w14:paraId="239739BF">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2.工作指示：状态指示灯：巡检时闪烁，报警时常亮</w:t>
            </w:r>
          </w:p>
          <w:p w14:paraId="10AEBC1F">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3.壳体材料：ABS,白色</w:t>
            </w:r>
          </w:p>
          <w:p w14:paraId="03327378">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4.编码方式：通过编码器可进行电编码，地址编码1-324任选</w:t>
            </w:r>
          </w:p>
          <w:p w14:paraId="0E0864D1">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i w:val="0"/>
                <w:iCs w:val="0"/>
                <w:color w:val="auto"/>
                <w:kern w:val="0"/>
                <w:sz w:val="21"/>
                <w:szCs w:val="21"/>
                <w:highlight w:val="none"/>
                <w:u w:val="none"/>
                <w:shd w:val="clear" w:color="auto" w:fill="auto"/>
                <w:lang w:val="en-US" w:eastAsia="zh-CN" w:bidi="ar"/>
              </w:rPr>
              <w:t>5.外形尺寸：≥φ105×43mm（带有底座）</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299A5C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个</w:t>
            </w:r>
          </w:p>
        </w:tc>
        <w:tc>
          <w:tcPr>
            <w:tcW w:w="696" w:type="dxa"/>
            <w:tcBorders>
              <w:top w:val="single" w:color="000000" w:sz="4" w:space="0"/>
              <w:left w:val="single" w:color="000000" w:sz="4" w:space="0"/>
              <w:bottom w:val="single" w:color="000000" w:sz="4" w:space="0"/>
              <w:right w:val="single" w:color="000000" w:sz="4" w:space="0"/>
            </w:tcBorders>
            <w:noWrap/>
            <w:vAlign w:val="center"/>
          </w:tcPr>
          <w:p w14:paraId="5D216D2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4</w:t>
            </w:r>
          </w:p>
        </w:tc>
      </w:tr>
      <w:tr w14:paraId="2E73D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4617485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6</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4D83A009">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声光报警器</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7F311219">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1.工作电压：总线24V，电源DC24V±20%</w:t>
            </w:r>
          </w:p>
          <w:p w14:paraId="4A3C58E0">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2.壳体材料：ABS,红色</w:t>
            </w:r>
          </w:p>
          <w:p w14:paraId="37B0493A">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3.编码方式：通过编码器可进行电编码，地址编码1-324任选</w:t>
            </w:r>
          </w:p>
          <w:p w14:paraId="65262C11">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i w:val="0"/>
                <w:iCs w:val="0"/>
                <w:color w:val="auto"/>
                <w:kern w:val="0"/>
                <w:sz w:val="21"/>
                <w:szCs w:val="21"/>
                <w:highlight w:val="none"/>
                <w:u w:val="none"/>
                <w:shd w:val="clear" w:color="auto" w:fill="auto"/>
                <w:lang w:val="en-US" w:eastAsia="zh-CN" w:bidi="ar"/>
              </w:rPr>
              <w:t>4.接线方式：两线制</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E7D6A6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个</w:t>
            </w:r>
          </w:p>
        </w:tc>
        <w:tc>
          <w:tcPr>
            <w:tcW w:w="696" w:type="dxa"/>
            <w:tcBorders>
              <w:top w:val="single" w:color="000000" w:sz="4" w:space="0"/>
              <w:left w:val="single" w:color="000000" w:sz="4" w:space="0"/>
              <w:bottom w:val="single" w:color="000000" w:sz="4" w:space="0"/>
              <w:right w:val="single" w:color="000000" w:sz="4" w:space="0"/>
            </w:tcBorders>
            <w:noWrap/>
            <w:vAlign w:val="center"/>
          </w:tcPr>
          <w:p w14:paraId="3C18367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2</w:t>
            </w:r>
          </w:p>
        </w:tc>
      </w:tr>
      <w:tr w14:paraId="25E68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B8802B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7</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62C07E12">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紧急启停按钮</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47633B94">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1.工作电压：≥24V（脉冲调制）</w:t>
            </w:r>
          </w:p>
          <w:p w14:paraId="39EE7899">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2.连接方式：无极性两总线（L1、L2）</w:t>
            </w:r>
          </w:p>
          <w:p w14:paraId="08D7ED9D">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3.编码方式：通过编码器可进行电编码，地址编码1-324任选.</w:t>
            </w:r>
          </w:p>
          <w:p w14:paraId="5FE14B23">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4.外形尺寸：≥90×90×38.3mm</w:t>
            </w:r>
          </w:p>
          <w:p w14:paraId="1720B26C">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i w:val="0"/>
                <w:iCs w:val="0"/>
                <w:color w:val="auto"/>
                <w:kern w:val="0"/>
                <w:sz w:val="21"/>
                <w:szCs w:val="21"/>
                <w:highlight w:val="none"/>
                <w:u w:val="none"/>
                <w:shd w:val="clear" w:color="auto" w:fill="auto"/>
                <w:lang w:val="en-US" w:eastAsia="zh-CN" w:bidi="ar"/>
              </w:rPr>
              <w:t>5.使用环境：温度-10℃~+55℃，相对湿度≤95%</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BB997A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个</w:t>
            </w:r>
          </w:p>
        </w:tc>
        <w:tc>
          <w:tcPr>
            <w:tcW w:w="696" w:type="dxa"/>
            <w:tcBorders>
              <w:top w:val="single" w:color="000000" w:sz="4" w:space="0"/>
              <w:left w:val="single" w:color="000000" w:sz="4" w:space="0"/>
              <w:bottom w:val="single" w:color="000000" w:sz="4" w:space="0"/>
              <w:right w:val="single" w:color="000000" w:sz="4" w:space="0"/>
            </w:tcBorders>
            <w:noWrap/>
            <w:vAlign w:val="center"/>
          </w:tcPr>
          <w:p w14:paraId="43CD850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w:t>
            </w:r>
          </w:p>
        </w:tc>
      </w:tr>
      <w:tr w14:paraId="12EEA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7785278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8</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726D2307">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放气指示灯</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2F32E0F8">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1.工作电压：总线≥24V。</w:t>
            </w:r>
          </w:p>
          <w:p w14:paraId="10F8A5DE">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2.壳体材料：ABS</w:t>
            </w:r>
          </w:p>
          <w:p w14:paraId="2AA5A699">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3.编码方式：通过编码器可进行电编码，地址编码1-324任选</w:t>
            </w:r>
          </w:p>
          <w:p w14:paraId="491972A5">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i w:val="0"/>
                <w:iCs w:val="0"/>
                <w:color w:val="auto"/>
                <w:kern w:val="0"/>
                <w:sz w:val="21"/>
                <w:szCs w:val="21"/>
                <w:highlight w:val="none"/>
                <w:u w:val="none"/>
                <w:shd w:val="clear" w:color="auto" w:fill="auto"/>
                <w:lang w:val="en-US" w:eastAsia="zh-CN" w:bidi="ar"/>
              </w:rPr>
              <w:t>4.接线方式：两线制</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2DAC43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个</w:t>
            </w:r>
          </w:p>
        </w:tc>
        <w:tc>
          <w:tcPr>
            <w:tcW w:w="696" w:type="dxa"/>
            <w:tcBorders>
              <w:top w:val="single" w:color="000000" w:sz="4" w:space="0"/>
              <w:left w:val="single" w:color="000000" w:sz="4" w:space="0"/>
              <w:bottom w:val="single" w:color="000000" w:sz="4" w:space="0"/>
              <w:right w:val="single" w:color="000000" w:sz="4" w:space="0"/>
            </w:tcBorders>
            <w:noWrap/>
            <w:vAlign w:val="center"/>
          </w:tcPr>
          <w:p w14:paraId="46FC5A4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w:t>
            </w:r>
          </w:p>
        </w:tc>
      </w:tr>
      <w:tr w14:paraId="5E5D0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9D7A93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9</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25915B7F">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手/自动转换盒</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31FC33BF">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1.工作电压：工作电压：≥24V(脉冲调制)</w:t>
            </w:r>
          </w:p>
          <w:p w14:paraId="6BAA9FFE">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2.工作电流：手动状态＜1.5mA，自动状态＜2.0mA</w:t>
            </w:r>
          </w:p>
          <w:p w14:paraId="119E79F9">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3.接线方式：无极性两总线（L1、L2）</w:t>
            </w:r>
          </w:p>
          <w:p w14:paraId="2EDE0CAE">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4.编码方式：电子编码，地址范围 1~324 任选</w:t>
            </w:r>
          </w:p>
          <w:p w14:paraId="4020CC3E">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5.使用环境：温度：-10℃～+55℃；相对湿度：≤95%（40℃±2℃无凝露）</w:t>
            </w:r>
          </w:p>
          <w:p w14:paraId="33AEE328">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i w:val="0"/>
                <w:iCs w:val="0"/>
                <w:color w:val="auto"/>
                <w:kern w:val="0"/>
                <w:sz w:val="21"/>
                <w:szCs w:val="21"/>
                <w:highlight w:val="none"/>
                <w:u w:val="none"/>
                <w:shd w:val="clear" w:color="auto" w:fill="auto"/>
                <w:lang w:val="en-US" w:eastAsia="zh-CN" w:bidi="ar"/>
              </w:rPr>
              <w:t>6.外形尺寸：≥90mm×≥90mm×≥40.3mm≥24V(脉冲调制)</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9FC79F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个</w:t>
            </w:r>
          </w:p>
        </w:tc>
        <w:tc>
          <w:tcPr>
            <w:tcW w:w="696" w:type="dxa"/>
            <w:tcBorders>
              <w:top w:val="single" w:color="000000" w:sz="4" w:space="0"/>
              <w:left w:val="single" w:color="000000" w:sz="4" w:space="0"/>
              <w:bottom w:val="single" w:color="000000" w:sz="4" w:space="0"/>
              <w:right w:val="single" w:color="000000" w:sz="4" w:space="0"/>
            </w:tcBorders>
            <w:noWrap/>
            <w:vAlign w:val="center"/>
          </w:tcPr>
          <w:p w14:paraId="18EFC40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w:t>
            </w:r>
          </w:p>
        </w:tc>
      </w:tr>
      <w:tr w14:paraId="0A2E1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65C936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28C70F30">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输入输出模块</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093C8FCA">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1.工作电压：DC24V±20%</w:t>
            </w:r>
          </w:p>
          <w:p w14:paraId="180BDEB4">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2.工作指示：红色启动指示灯（巡检时闪亮，动作时常亮）</w:t>
            </w:r>
          </w:p>
          <w:p w14:paraId="0C7A5EC0">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3.编码方式：通过编码器进行电编码，地址编码1-324任选</w:t>
            </w:r>
          </w:p>
          <w:p w14:paraId="1424633E">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i w:val="0"/>
                <w:iCs w:val="0"/>
                <w:color w:val="auto"/>
                <w:kern w:val="0"/>
                <w:sz w:val="21"/>
                <w:szCs w:val="21"/>
                <w:highlight w:val="none"/>
                <w:u w:val="none"/>
                <w:shd w:val="clear" w:color="auto" w:fill="auto"/>
                <w:lang w:val="en-US" w:eastAsia="zh-CN" w:bidi="ar"/>
              </w:rPr>
              <w:t>4.外形尺寸：≥85×≥85×≥30mm</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F276DA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个</w:t>
            </w:r>
          </w:p>
        </w:tc>
        <w:tc>
          <w:tcPr>
            <w:tcW w:w="696" w:type="dxa"/>
            <w:tcBorders>
              <w:top w:val="single" w:color="000000" w:sz="4" w:space="0"/>
              <w:left w:val="single" w:color="000000" w:sz="4" w:space="0"/>
              <w:bottom w:val="single" w:color="000000" w:sz="4" w:space="0"/>
              <w:right w:val="single" w:color="000000" w:sz="4" w:space="0"/>
            </w:tcBorders>
            <w:noWrap/>
            <w:vAlign w:val="center"/>
          </w:tcPr>
          <w:p w14:paraId="2FFBC82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w:t>
            </w:r>
          </w:p>
        </w:tc>
      </w:tr>
      <w:tr w14:paraId="4DBBF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8596B6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11</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5471D163">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150L柜式七氟丙烷气体灭火装置</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214E1DA4">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1.外型尺寸（mm）：≥550×≥510×≥1880</w:t>
            </w:r>
          </w:p>
          <w:p w14:paraId="02B57445">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2.公称工作压力：≥4.2MPa；</w:t>
            </w:r>
          </w:p>
          <w:p w14:paraId="41D3BF57">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3.公称容积（L）：≥150；</w:t>
            </w:r>
          </w:p>
          <w:p w14:paraId="6890E723">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4.贮存压力：≥2.5MPa；</w:t>
            </w:r>
          </w:p>
          <w:p w14:paraId="59BFCF14">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5.最大充装密度：≥1.00kg/L；</w:t>
            </w:r>
          </w:p>
          <w:p w14:paraId="24A2C58B">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i w:val="0"/>
                <w:iCs w:val="0"/>
                <w:color w:val="auto"/>
                <w:kern w:val="0"/>
                <w:sz w:val="21"/>
                <w:szCs w:val="21"/>
                <w:highlight w:val="none"/>
                <w:u w:val="none"/>
                <w:shd w:val="clear" w:color="auto" w:fill="auto"/>
                <w:lang w:val="en-US" w:eastAsia="zh-CN" w:bidi="ar"/>
              </w:rPr>
              <w:t>6.灭火剂喷放时间≤10s</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25C79B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套</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23DC6E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2</w:t>
            </w:r>
          </w:p>
        </w:tc>
      </w:tr>
      <w:tr w14:paraId="3173D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531E25A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12</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5BFCFDFC">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七氟丙烷灭火剂</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537E565D">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HFC-227ea；消防产品终身责任制，公司采用国标七氟丙烷药剂。国标HFC-227ea，</w:t>
            </w:r>
          </w:p>
          <w:p w14:paraId="4DC4CC9E">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1.纯度≥99.6﹪；</w:t>
            </w:r>
          </w:p>
          <w:p w14:paraId="0572B9B8">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2.水份/（mg/kg）≤10 ；</w:t>
            </w:r>
          </w:p>
          <w:p w14:paraId="38625407">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3.酸度（以HF计）/（mg/kg）≤1；</w:t>
            </w:r>
          </w:p>
          <w:p w14:paraId="57E8B3F7">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4.蒸发残留物/﹪≤0.01；</w:t>
            </w:r>
          </w:p>
          <w:p w14:paraId="70804548">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 xml:space="preserve">5.沸点： -16.4℃ </w:t>
            </w:r>
          </w:p>
          <w:p w14:paraId="3FB6500F">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 xml:space="preserve">6.液体密度： 1.41g/ml(20℃) </w:t>
            </w:r>
          </w:p>
          <w:p w14:paraId="083FBF9A">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 xml:space="preserve">7.冰点： -131.1℃ </w:t>
            </w:r>
          </w:p>
          <w:p w14:paraId="319B511F">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8.臭氧层消耗潜能值（ODP）： 0</w:t>
            </w:r>
          </w:p>
          <w:p w14:paraId="31BB2E09">
            <w:pPr>
              <w:keepNext w:val="0"/>
              <w:keepLines w:val="0"/>
              <w:widowControl/>
              <w:suppressLineNumbers w:val="0"/>
              <w:spacing w:line="360" w:lineRule="auto"/>
              <w:jc w:val="left"/>
              <w:textAlignment w:val="top"/>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 xml:space="preserve">9.临界温度： ≥101.7℃ </w:t>
            </w:r>
          </w:p>
          <w:p w14:paraId="72825ACD">
            <w:pPr>
              <w:keepNext w:val="0"/>
              <w:keepLines w:val="0"/>
              <w:widowControl/>
              <w:suppressLineNumbers w:val="0"/>
              <w:spacing w:line="360" w:lineRule="auto"/>
              <w:jc w:val="left"/>
              <w:textAlignment w:val="top"/>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i w:val="0"/>
                <w:iCs w:val="0"/>
                <w:color w:val="auto"/>
                <w:kern w:val="0"/>
                <w:sz w:val="21"/>
                <w:szCs w:val="21"/>
                <w:highlight w:val="none"/>
                <w:u w:val="none"/>
                <w:shd w:val="clear" w:color="auto" w:fill="auto"/>
                <w:lang w:val="en-US" w:eastAsia="zh-CN" w:bidi="ar"/>
              </w:rPr>
              <w:t>10.临界压力： ≥2.91Mpa</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5EB6B89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kg</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48B3CC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254</w:t>
            </w:r>
          </w:p>
        </w:tc>
      </w:tr>
      <w:tr w14:paraId="30FBB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660" w:type="dxa"/>
            <w:tcBorders>
              <w:top w:val="single" w:color="000000" w:sz="4" w:space="0"/>
              <w:left w:val="single" w:color="000000" w:sz="4" w:space="0"/>
              <w:bottom w:val="single" w:color="000000" w:sz="4" w:space="0"/>
              <w:right w:val="single" w:color="000000" w:sz="4" w:space="0"/>
            </w:tcBorders>
            <w:noWrap w:val="0"/>
            <w:vAlign w:val="center"/>
          </w:tcPr>
          <w:p w14:paraId="00345E6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13</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0A9437ED">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highlight w:val="none"/>
                <w:u w:val="none"/>
                <w:shd w:val="clear" w:color="auto" w:fill="auto"/>
              </w:rPr>
            </w:pPr>
            <w:r>
              <w:rPr>
                <w:rFonts w:hint="eastAsia" w:ascii="宋体" w:hAnsi="宋体" w:eastAsia="宋体" w:cs="宋体"/>
                <w:b w:val="0"/>
                <w:bCs w:val="0"/>
                <w:i w:val="0"/>
                <w:iCs w:val="0"/>
                <w:color w:val="000000"/>
                <w:kern w:val="0"/>
                <w:sz w:val="21"/>
                <w:szCs w:val="21"/>
                <w:highlight w:val="none"/>
                <w:u w:val="none"/>
                <w:shd w:val="clear" w:color="auto" w:fill="auto"/>
                <w:lang w:val="en-US" w:eastAsia="zh-CN" w:bidi="ar"/>
              </w:rPr>
              <w:t>0.12泄压装置</w:t>
            </w:r>
          </w:p>
        </w:tc>
        <w:tc>
          <w:tcPr>
            <w:tcW w:w="6294" w:type="dxa"/>
            <w:tcBorders>
              <w:top w:val="single" w:color="000000" w:sz="4" w:space="0"/>
              <w:left w:val="single" w:color="000000" w:sz="4" w:space="0"/>
              <w:bottom w:val="single" w:color="000000" w:sz="4" w:space="0"/>
              <w:right w:val="single" w:color="000000" w:sz="4" w:space="0"/>
            </w:tcBorders>
            <w:noWrap w:val="0"/>
            <w:vAlign w:val="center"/>
          </w:tcPr>
          <w:p w14:paraId="750B6368">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1.外形尺寸：≥460*460mm</w:t>
            </w:r>
          </w:p>
          <w:p w14:paraId="037E2A50">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2.开口尺寸：≥400*400mm</w:t>
            </w:r>
          </w:p>
          <w:p w14:paraId="3256DF7E">
            <w:pPr>
              <w:keepNext w:val="0"/>
              <w:keepLines w:val="0"/>
              <w:widowControl/>
              <w:suppressLineNumbers w:val="0"/>
              <w:spacing w:line="360" w:lineRule="auto"/>
              <w:jc w:val="left"/>
              <w:textAlignment w:val="center"/>
              <w:rPr>
                <w:rFonts w:hint="eastAsia" w:ascii="宋体" w:hAnsi="宋体" w:eastAsia="宋体" w:cs="宋体"/>
                <w:i w:val="0"/>
                <w:iCs w:val="0"/>
                <w:color w:val="auto"/>
                <w:kern w:val="0"/>
                <w:sz w:val="21"/>
                <w:szCs w:val="21"/>
                <w:highlight w:val="none"/>
                <w:u w:val="none"/>
                <w:shd w:val="clear" w:color="auto" w:fill="auto"/>
                <w:lang w:val="en-US" w:eastAsia="zh-CN" w:bidi="ar"/>
              </w:rPr>
            </w:pPr>
            <w:r>
              <w:rPr>
                <w:rFonts w:hint="eastAsia" w:ascii="宋体" w:hAnsi="宋体" w:eastAsia="宋体" w:cs="宋体"/>
                <w:i w:val="0"/>
                <w:iCs w:val="0"/>
                <w:color w:val="auto"/>
                <w:kern w:val="0"/>
                <w:sz w:val="21"/>
                <w:szCs w:val="21"/>
                <w:highlight w:val="none"/>
                <w:u w:val="none"/>
                <w:shd w:val="clear" w:color="auto" w:fill="auto"/>
                <w:lang w:val="en-US" w:eastAsia="zh-CN" w:bidi="ar"/>
              </w:rPr>
              <w:t>3.泄压面积：0～0.12㎡</w:t>
            </w:r>
          </w:p>
          <w:p w14:paraId="2B0BF622">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highlight w:val="none"/>
                <w:u w:val="none"/>
                <w:shd w:val="clear" w:color="auto" w:fill="auto"/>
              </w:rPr>
            </w:pPr>
            <w:r>
              <w:rPr>
                <w:rFonts w:hint="eastAsia" w:ascii="宋体" w:hAnsi="宋体" w:eastAsia="宋体" w:cs="宋体"/>
                <w:i w:val="0"/>
                <w:iCs w:val="0"/>
                <w:color w:val="auto"/>
                <w:kern w:val="0"/>
                <w:sz w:val="21"/>
                <w:szCs w:val="21"/>
                <w:highlight w:val="none"/>
                <w:u w:val="none"/>
                <w:shd w:val="clear" w:color="auto" w:fill="auto"/>
                <w:lang w:val="en-US" w:eastAsia="zh-CN" w:bidi="ar"/>
              </w:rPr>
              <w:t>4.开启压力：980Pa±50Pa</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5653EE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套</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AAC3BD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bidi="ar"/>
              </w:rPr>
              <w:t>1</w:t>
            </w:r>
          </w:p>
        </w:tc>
      </w:tr>
    </w:tbl>
    <w:p w14:paraId="6882835A">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r>
        <w:rPr>
          <w:rFonts w:hint="eastAsia" w:ascii="宋体" w:hAnsi="宋体" w:eastAsia="宋体" w:cs="宋体"/>
          <w:b/>
          <w:bCs/>
          <w:kern w:val="2"/>
          <w:sz w:val="28"/>
          <w:szCs w:val="32"/>
          <w:highlight w:val="none"/>
          <w:lang w:val="en-US" w:eastAsia="zh-CN" w:bidi="ar-SA"/>
        </w:rPr>
        <w:t>（四）档案条目数据录入技术参数要求</w:t>
      </w:r>
    </w:p>
    <w:tbl>
      <w:tblPr>
        <w:tblStyle w:val="15"/>
        <w:tblW w:w="531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6"/>
        <w:gridCol w:w="583"/>
        <w:gridCol w:w="6888"/>
        <w:gridCol w:w="755"/>
      </w:tblGrid>
      <w:tr w14:paraId="6901A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8" w:hRule="atLeast"/>
          <w:jc w:val="center"/>
        </w:trPr>
        <w:tc>
          <w:tcPr>
            <w:tcW w:w="461" w:type="pct"/>
            <w:tcBorders>
              <w:top w:val="single" w:color="000000" w:sz="4" w:space="0"/>
              <w:left w:val="single" w:color="000000" w:sz="4" w:space="0"/>
              <w:bottom w:val="single" w:color="000000" w:sz="4" w:space="0"/>
              <w:right w:val="single" w:color="000000" w:sz="4" w:space="0"/>
            </w:tcBorders>
            <w:noWrap w:val="0"/>
            <w:vAlign w:val="center"/>
          </w:tcPr>
          <w:p w14:paraId="496BA70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321" w:type="pct"/>
            <w:tcBorders>
              <w:top w:val="single" w:color="000000" w:sz="4" w:space="0"/>
              <w:left w:val="single" w:color="000000" w:sz="4" w:space="0"/>
              <w:bottom w:val="single" w:color="000000" w:sz="4" w:space="0"/>
              <w:right w:val="single" w:color="000000" w:sz="4" w:space="0"/>
            </w:tcBorders>
            <w:noWrap w:val="0"/>
            <w:vAlign w:val="center"/>
          </w:tcPr>
          <w:p w14:paraId="4C32B7C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名称</w:t>
            </w:r>
          </w:p>
        </w:tc>
        <w:tc>
          <w:tcPr>
            <w:tcW w:w="3801" w:type="pct"/>
            <w:tcBorders>
              <w:top w:val="single" w:color="000000" w:sz="4" w:space="0"/>
              <w:left w:val="single" w:color="000000" w:sz="4" w:space="0"/>
              <w:bottom w:val="single" w:color="000000" w:sz="4" w:space="0"/>
              <w:right w:val="single" w:color="000000" w:sz="4" w:space="0"/>
            </w:tcBorders>
            <w:noWrap w:val="0"/>
            <w:vAlign w:val="center"/>
          </w:tcPr>
          <w:p w14:paraId="04FA93A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top"/>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参数</w:t>
            </w:r>
          </w:p>
        </w:tc>
        <w:tc>
          <w:tcPr>
            <w:tcW w:w="416" w:type="pct"/>
            <w:tcBorders>
              <w:top w:val="single" w:color="000000" w:sz="4" w:space="0"/>
              <w:left w:val="single" w:color="000000" w:sz="4" w:space="0"/>
              <w:bottom w:val="single" w:color="000000" w:sz="4" w:space="0"/>
              <w:right w:val="single" w:color="000000" w:sz="4" w:space="0"/>
            </w:tcBorders>
            <w:noWrap w:val="0"/>
            <w:vAlign w:val="center"/>
          </w:tcPr>
          <w:p w14:paraId="5BD69C1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top"/>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数量</w:t>
            </w:r>
          </w:p>
        </w:tc>
      </w:tr>
      <w:tr w14:paraId="6A418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61" w:type="pct"/>
            <w:tcBorders>
              <w:top w:val="single" w:color="000000" w:sz="4" w:space="0"/>
              <w:left w:val="single" w:color="000000" w:sz="4" w:space="0"/>
              <w:bottom w:val="single" w:color="000000" w:sz="4" w:space="0"/>
              <w:right w:val="single" w:color="000000" w:sz="4" w:space="0"/>
            </w:tcBorders>
            <w:noWrap w:val="0"/>
            <w:vAlign w:val="center"/>
          </w:tcPr>
          <w:p w14:paraId="7BF34500">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outlineLvl w:val="9"/>
              <w:rPr>
                <w:rFonts w:hint="eastAsia" w:ascii="宋体" w:hAnsi="宋体" w:eastAsia="宋体" w:cs="宋体"/>
                <w:b w:val="0"/>
                <w:bCs/>
                <w:i w:val="0"/>
                <w:iCs w:val="0"/>
                <w:color w:val="000000"/>
                <w:sz w:val="21"/>
                <w:szCs w:val="21"/>
                <w:highlight w:val="none"/>
                <w:u w:val="none"/>
                <w:lang w:val="en-US" w:eastAsia="zh-CN"/>
              </w:rPr>
            </w:pPr>
            <w:r>
              <w:rPr>
                <w:rFonts w:hint="eastAsia" w:ascii="宋体" w:hAnsi="宋体" w:eastAsia="宋体" w:cs="宋体"/>
                <w:b w:val="0"/>
                <w:bCs/>
                <w:i w:val="0"/>
                <w:iCs w:val="0"/>
                <w:color w:val="000000"/>
                <w:sz w:val="21"/>
                <w:szCs w:val="21"/>
                <w:highlight w:val="none"/>
                <w:u w:val="none"/>
                <w:lang w:val="en-US" w:eastAsia="zh-CN"/>
              </w:rPr>
              <w:t>1</w:t>
            </w:r>
          </w:p>
        </w:tc>
        <w:tc>
          <w:tcPr>
            <w:tcW w:w="321" w:type="pct"/>
            <w:tcBorders>
              <w:top w:val="single" w:color="000000" w:sz="4" w:space="0"/>
              <w:left w:val="single" w:color="000000" w:sz="4" w:space="0"/>
              <w:bottom w:val="single" w:color="000000" w:sz="4" w:space="0"/>
              <w:right w:val="single" w:color="000000" w:sz="4" w:space="0"/>
            </w:tcBorders>
            <w:noWrap w:val="0"/>
            <w:vAlign w:val="center"/>
          </w:tcPr>
          <w:p w14:paraId="6F5EE63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档案条目数据录入</w:t>
            </w:r>
          </w:p>
        </w:tc>
        <w:tc>
          <w:tcPr>
            <w:tcW w:w="3801" w:type="pct"/>
            <w:tcBorders>
              <w:top w:val="single" w:color="000000" w:sz="4" w:space="0"/>
              <w:left w:val="single" w:color="000000" w:sz="4" w:space="0"/>
              <w:bottom w:val="single" w:color="000000" w:sz="4" w:space="0"/>
              <w:right w:val="single" w:color="000000" w:sz="4" w:space="0"/>
            </w:tcBorders>
            <w:noWrap w:val="0"/>
            <w:vAlign w:val="top"/>
          </w:tcPr>
          <w:p w14:paraId="2460392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智能密集架管理系统数据录入是指将档案信息及相关数据输入到智能密集架管理系统的数据库中，以便实现对档案的高效管理、快速检索、自动化存取和安全监控等一系列功能的过程。</w:t>
            </w:r>
          </w:p>
          <w:p w14:paraId="2A98072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通过将档案信息录入系统，将传统的纸质档案管理转化为数字化管理，录入的数据可以通过系统进行快速检索和查询，用户可以根据关键词、编号、分类等条件快速找到所需的档案，支持自动定位档案位置，提高档案存取的便捷性和准确性，节省时间和精力，便于对档案进行统一管理和高效利用。</w:t>
            </w:r>
          </w:p>
          <w:p w14:paraId="48D0CCE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数据录入要求</w:t>
            </w:r>
          </w:p>
          <w:p w14:paraId="5DABC72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信息完整性：录入的电子条目数据应包含档案盒的所有必要信息，如档案盒名称、年度、保管期限、起止件号、盒号等。</w:t>
            </w:r>
          </w:p>
          <w:p w14:paraId="03BBBD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准确性：录入数据时需仔细核对，确保信息无误。全宗号应与档案馆的统一规划一致，年度应准确填写文件形成的年份，保管期限需按照规定划分准确。</w:t>
            </w:r>
          </w:p>
          <w:p w14:paraId="58496E4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关联性：索引数据应与电子条目数据紧密关联，能够通过索引快速准确地定位到对应的档案盒及其文件信息。</w:t>
            </w:r>
          </w:p>
          <w:p w14:paraId="5B62987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位置信息准确：在录入档案盒信息时，应明确记录档案盒在密集架上的具体位置，包括所在的列、层等信息，以便快速查找和管理</w:t>
            </w:r>
            <w:r>
              <w:rPr>
                <w:rFonts w:hint="eastAsia" w:ascii="宋体" w:hAnsi="宋体" w:eastAsia="宋体" w:cs="宋体"/>
                <w:sz w:val="21"/>
                <w:szCs w:val="21"/>
                <w:highlight w:val="none"/>
              </w:rPr>
              <w:t>。</w:t>
            </w:r>
          </w:p>
        </w:tc>
        <w:tc>
          <w:tcPr>
            <w:tcW w:w="416" w:type="pct"/>
            <w:tcBorders>
              <w:top w:val="single" w:color="000000" w:sz="4" w:space="0"/>
              <w:left w:val="single" w:color="000000" w:sz="4" w:space="0"/>
              <w:bottom w:val="single" w:color="000000" w:sz="4" w:space="0"/>
              <w:right w:val="single" w:color="000000" w:sz="4" w:space="0"/>
            </w:tcBorders>
            <w:noWrap w:val="0"/>
            <w:vAlign w:val="center"/>
          </w:tcPr>
          <w:p w14:paraId="2918CE3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top"/>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10000条</w:t>
            </w:r>
          </w:p>
        </w:tc>
      </w:tr>
    </w:tbl>
    <w:p w14:paraId="64D5C14A">
      <w:pPr>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bookmarkStart w:id="161" w:name="_Toc23022"/>
      <w:r>
        <w:rPr>
          <w:rFonts w:hint="eastAsia" w:ascii="宋体" w:hAnsi="宋体" w:eastAsia="宋体" w:cs="宋体"/>
          <w:b/>
          <w:bCs/>
          <w:kern w:val="2"/>
          <w:sz w:val="28"/>
          <w:szCs w:val="32"/>
          <w:highlight w:val="none"/>
          <w:lang w:val="en-US" w:eastAsia="zh-CN" w:bidi="ar-SA"/>
        </w:rPr>
        <w:t>（五）</w:t>
      </w:r>
      <w:bookmarkEnd w:id="161"/>
      <w:r>
        <w:rPr>
          <w:rFonts w:hint="eastAsia" w:ascii="宋体" w:hAnsi="宋体" w:eastAsia="宋体" w:cs="宋体"/>
          <w:b/>
          <w:bCs/>
          <w:kern w:val="2"/>
          <w:sz w:val="28"/>
          <w:szCs w:val="32"/>
          <w:highlight w:val="none"/>
          <w:lang w:val="en-US" w:eastAsia="zh-CN" w:bidi="ar-SA"/>
        </w:rPr>
        <w:t>档案数据传输技术参数要求</w:t>
      </w:r>
    </w:p>
    <w:tbl>
      <w:tblPr>
        <w:tblStyle w:val="15"/>
        <w:tblW w:w="543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4"/>
        <w:gridCol w:w="740"/>
        <w:gridCol w:w="7196"/>
        <w:gridCol w:w="817"/>
      </w:tblGrid>
      <w:tr w14:paraId="14355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2" w:hRule="atLeast"/>
          <w:jc w:val="center"/>
        </w:trPr>
        <w:tc>
          <w:tcPr>
            <w:tcW w:w="272" w:type="pct"/>
            <w:tcBorders>
              <w:top w:val="single" w:color="000000" w:sz="4" w:space="0"/>
              <w:left w:val="single" w:color="000000" w:sz="4" w:space="0"/>
              <w:bottom w:val="single" w:color="000000" w:sz="4" w:space="0"/>
              <w:right w:val="single" w:color="000000" w:sz="4" w:space="0"/>
            </w:tcBorders>
            <w:noWrap w:val="0"/>
            <w:vAlign w:val="center"/>
          </w:tcPr>
          <w:p w14:paraId="2A2D305F">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399" w:type="pct"/>
            <w:tcBorders>
              <w:top w:val="single" w:color="000000" w:sz="4" w:space="0"/>
              <w:left w:val="single" w:color="000000" w:sz="4" w:space="0"/>
              <w:bottom w:val="single" w:color="000000" w:sz="4" w:space="0"/>
              <w:right w:val="single" w:color="000000" w:sz="4" w:space="0"/>
            </w:tcBorders>
            <w:noWrap w:val="0"/>
            <w:vAlign w:val="center"/>
          </w:tcPr>
          <w:p w14:paraId="57B698A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名称</w:t>
            </w:r>
          </w:p>
        </w:tc>
        <w:tc>
          <w:tcPr>
            <w:tcW w:w="3886" w:type="pct"/>
            <w:tcBorders>
              <w:top w:val="single" w:color="000000" w:sz="4" w:space="0"/>
              <w:left w:val="single" w:color="000000" w:sz="4" w:space="0"/>
              <w:bottom w:val="single" w:color="000000" w:sz="4" w:space="0"/>
              <w:right w:val="single" w:color="000000" w:sz="4" w:space="0"/>
            </w:tcBorders>
            <w:noWrap w:val="0"/>
            <w:vAlign w:val="center"/>
          </w:tcPr>
          <w:p w14:paraId="68634126">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参数</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5D98C56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数量</w:t>
            </w:r>
          </w:p>
        </w:tc>
      </w:tr>
      <w:tr w14:paraId="4A10D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8" w:hRule="atLeast"/>
          <w:jc w:val="center"/>
        </w:trPr>
        <w:tc>
          <w:tcPr>
            <w:tcW w:w="272" w:type="pct"/>
            <w:tcBorders>
              <w:top w:val="single" w:color="000000" w:sz="4" w:space="0"/>
              <w:left w:val="single" w:color="000000" w:sz="4" w:space="0"/>
              <w:bottom w:val="single" w:color="000000" w:sz="4" w:space="0"/>
              <w:right w:val="single" w:color="000000" w:sz="4" w:space="0"/>
            </w:tcBorders>
            <w:noWrap w:val="0"/>
            <w:vAlign w:val="center"/>
          </w:tcPr>
          <w:p w14:paraId="13BDC39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noWrap w:val="0"/>
            <w:vAlign w:val="center"/>
          </w:tcPr>
          <w:p w14:paraId="466C6F6E">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档案数据传输</w:t>
            </w:r>
          </w:p>
        </w:tc>
        <w:tc>
          <w:tcPr>
            <w:tcW w:w="3886" w:type="pct"/>
            <w:tcBorders>
              <w:top w:val="single" w:color="000000" w:sz="4" w:space="0"/>
              <w:left w:val="single" w:color="000000" w:sz="4" w:space="0"/>
              <w:bottom w:val="single" w:color="000000" w:sz="4" w:space="0"/>
              <w:right w:val="single" w:color="000000" w:sz="4" w:space="0"/>
            </w:tcBorders>
            <w:noWrap w:val="0"/>
            <w:vAlign w:val="top"/>
          </w:tcPr>
          <w:p w14:paraId="1D2005FA">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1、建立稳定、可靠的档案数据传输通道，确保档案数据传输的安全性和完整性，防止数据泄露、 丢失或损坏。</w:t>
            </w:r>
          </w:p>
          <w:p w14:paraId="07DCF117">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2、支持多种传输方式，如网络传输、移动存储设备传输等。</w:t>
            </w:r>
          </w:p>
          <w:p w14:paraId="32D6B5F4">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3、支持常见的档案数据格式，如 PDF、EXCEL、CSV、XML 等。</w:t>
            </w:r>
          </w:p>
          <w:p w14:paraId="5A90D526">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4、能够对不同格式的档案数据进行转换和处理，确保数据的兼容性。</w:t>
            </w:r>
          </w:p>
          <w:p w14:paraId="0A5844E7">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5、采用身份认证、访问控制等安全措施，确保档案数据传输的安全性。</w:t>
            </w:r>
          </w:p>
          <w:p w14:paraId="4F776E81">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6、身份认证应支持多种方式，如用户名 / 密码等。</w:t>
            </w:r>
          </w:p>
          <w:p w14:paraId="17B73DEC">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7、访问控制应根据用户角色和权限进行设置，确保只有授权用户能够访问和传输档案数据。</w:t>
            </w:r>
          </w:p>
          <w:p w14:paraId="34B00A4D">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8、投标人应提供详细的项目实施计划，包括项目进度安排、人员配备、技术方案等。项目实施 计划应合理、可行，确保项目能够按时完成。</w:t>
            </w:r>
          </w:p>
          <w:p w14:paraId="0C951DCF">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9、投标人应提供系统使用培训，确保用户能够熟练掌握档案数据传输系统的操作方法。</w:t>
            </w:r>
          </w:p>
          <w:p w14:paraId="3A606473">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10、投标人应严格遵守招标单位的保密制度，对档案数据传输过程中涉及的敏感信息进行严格 保密。</w:t>
            </w:r>
          </w:p>
          <w:p w14:paraId="5721CA8E">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11、未经招标单位书面同意，投标人不得将档案数据传输系统及相关技术透露给任何第三方。</w:t>
            </w:r>
          </w:p>
          <w:p w14:paraId="1EF431B9">
            <w:pPr>
              <w:keepNext w:val="0"/>
              <w:keepLines w:val="0"/>
              <w:widowControl/>
              <w:suppressLineNumbers w:val="0"/>
              <w:spacing w:line="360" w:lineRule="auto"/>
              <w:jc w:val="left"/>
              <w:textAlignment w:val="center"/>
              <w:rPr>
                <w:rFonts w:hint="eastAsia" w:ascii="宋体" w:hAnsi="宋体" w:eastAsia="宋体" w:cs="宋体"/>
                <w:highlight w:val="none"/>
                <w:lang w:val="en-US" w:eastAsia="zh-CN"/>
              </w:rPr>
            </w:pPr>
            <w:r>
              <w:rPr>
                <w:rFonts w:hint="eastAsia" w:ascii="宋体" w:hAnsi="宋体" w:eastAsia="宋体" w:cs="宋体"/>
                <w:i w:val="0"/>
                <w:iCs w:val="0"/>
                <w:color w:val="auto"/>
                <w:kern w:val="0"/>
                <w:sz w:val="21"/>
                <w:szCs w:val="21"/>
                <w:highlight w:val="none"/>
                <w:u w:val="none"/>
                <w:lang w:val="en-US" w:eastAsia="zh-CN" w:bidi="ar"/>
              </w:rPr>
              <w:t>12、数量约15000条</w:t>
            </w:r>
          </w:p>
        </w:tc>
        <w:tc>
          <w:tcPr>
            <w:tcW w:w="441" w:type="pct"/>
            <w:tcBorders>
              <w:top w:val="single" w:color="000000" w:sz="4" w:space="0"/>
              <w:left w:val="single" w:color="000000" w:sz="4" w:space="0"/>
              <w:bottom w:val="single" w:color="000000" w:sz="4" w:space="0"/>
              <w:right w:val="single" w:color="000000" w:sz="4" w:space="0"/>
            </w:tcBorders>
            <w:noWrap w:val="0"/>
            <w:vAlign w:val="center"/>
          </w:tcPr>
          <w:p w14:paraId="047347C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1项</w:t>
            </w:r>
          </w:p>
        </w:tc>
      </w:tr>
    </w:tbl>
    <w:p w14:paraId="4E671DCE">
      <w:pPr>
        <w:bidi w:val="0"/>
        <w:jc w:val="left"/>
        <w:rPr>
          <w:rFonts w:hint="eastAsia" w:ascii="宋体" w:hAnsi="宋体" w:eastAsia="宋体" w:cs="宋体"/>
          <w:b/>
          <w:bCs/>
          <w:highlight w:val="none"/>
          <w:lang w:val="en-US" w:eastAsia="zh-CN"/>
        </w:rPr>
        <w:sectPr>
          <w:headerReference r:id="rId15" w:type="first"/>
          <w:footerReference r:id="rId18" w:type="first"/>
          <w:headerReference r:id="rId13" w:type="default"/>
          <w:footerReference r:id="rId16" w:type="default"/>
          <w:headerReference r:id="rId14" w:type="even"/>
          <w:footerReference r:id="rId17" w:type="even"/>
          <w:pgSz w:w="11906" w:h="16838"/>
          <w:pgMar w:top="1440" w:right="1800" w:bottom="873" w:left="1800" w:header="1020" w:footer="992" w:gutter="0"/>
          <w:pgNumType w:fmt="decimal"/>
          <w:cols w:space="720" w:num="1"/>
          <w:docGrid w:type="lines" w:linePitch="312" w:charSpace="0"/>
        </w:sectPr>
      </w:pPr>
      <w:r>
        <w:rPr>
          <w:rFonts w:hint="eastAsia" w:ascii="宋体" w:hAnsi="宋体" w:eastAsia="宋体" w:cs="宋体"/>
          <w:b/>
          <w:bCs/>
          <w:highlight w:val="none"/>
          <w:lang w:val="en-US" w:eastAsia="zh-CN"/>
        </w:rPr>
        <w:br w:type="page"/>
      </w:r>
    </w:p>
    <w:p w14:paraId="7427088B">
      <w:pPr>
        <w:pStyle w:val="3"/>
        <w:bidi w:val="0"/>
        <w:rPr>
          <w:rFonts w:hint="eastAsia" w:ascii="宋体" w:hAnsi="宋体" w:eastAsia="宋体" w:cs="宋体"/>
          <w:color w:val="auto"/>
          <w:highlight w:val="none"/>
          <w:shd w:val="clear" w:color="auto" w:fill="auto"/>
          <w:lang w:eastAsia="zh-CN"/>
        </w:rPr>
      </w:pPr>
      <w:bookmarkStart w:id="162" w:name="_Toc3419"/>
      <w:bookmarkStart w:id="163" w:name="_Toc24549"/>
      <w:bookmarkStart w:id="164" w:name="_Toc12640"/>
      <w:r>
        <w:rPr>
          <w:rFonts w:hint="eastAsia" w:ascii="宋体" w:hAnsi="宋体" w:eastAsia="宋体" w:cs="宋体"/>
          <w:color w:val="auto"/>
          <w:highlight w:val="none"/>
          <w:shd w:val="clear" w:color="auto" w:fill="auto"/>
          <w:lang w:val="en-US" w:eastAsia="zh-CN"/>
        </w:rPr>
        <w:t xml:space="preserve">   </w:t>
      </w:r>
      <w:bookmarkStart w:id="165" w:name="_Toc28908"/>
      <w:r>
        <w:rPr>
          <w:rFonts w:hint="eastAsia" w:ascii="宋体" w:hAnsi="宋体" w:eastAsia="宋体" w:cs="宋体"/>
          <w:color w:val="auto"/>
          <w:highlight w:val="none"/>
          <w:shd w:val="clear" w:color="auto" w:fill="auto"/>
        </w:rPr>
        <w:t>第</w:t>
      </w:r>
      <w:r>
        <w:rPr>
          <w:rFonts w:hint="eastAsia" w:ascii="宋体" w:hAnsi="宋体" w:eastAsia="宋体" w:cs="宋体"/>
          <w:color w:val="auto"/>
          <w:highlight w:val="none"/>
          <w:shd w:val="clear" w:color="auto" w:fill="auto"/>
          <w:lang w:val="en-US" w:eastAsia="zh-CN"/>
        </w:rPr>
        <w:t>五</w:t>
      </w:r>
      <w:r>
        <w:rPr>
          <w:rFonts w:hint="eastAsia" w:ascii="宋体" w:hAnsi="宋体" w:eastAsia="宋体" w:cs="宋体"/>
          <w:color w:val="auto"/>
          <w:highlight w:val="none"/>
          <w:shd w:val="clear" w:color="auto" w:fill="auto"/>
          <w:lang w:eastAsia="zh-CN"/>
        </w:rPr>
        <w:t>章</w:t>
      </w:r>
      <w:r>
        <w:rPr>
          <w:rFonts w:hint="eastAsia" w:ascii="宋体" w:hAnsi="宋体" w:eastAsia="宋体" w:cs="宋体"/>
          <w:color w:val="auto"/>
          <w:highlight w:val="none"/>
          <w:shd w:val="clear" w:color="auto" w:fill="auto"/>
        </w:rPr>
        <w:t xml:space="preserve">  </w:t>
      </w:r>
      <w:bookmarkStart w:id="166" w:name="OLE_LINK11"/>
      <w:r>
        <w:rPr>
          <w:rFonts w:hint="eastAsia" w:ascii="宋体" w:hAnsi="宋体" w:eastAsia="宋体" w:cs="宋体"/>
          <w:color w:val="auto"/>
          <w:highlight w:val="none"/>
          <w:shd w:val="clear" w:color="auto" w:fill="auto"/>
        </w:rPr>
        <w:t>合同</w:t>
      </w:r>
      <w:bookmarkEnd w:id="154"/>
      <w:r>
        <w:rPr>
          <w:rFonts w:hint="eastAsia" w:ascii="宋体" w:hAnsi="宋体" w:eastAsia="宋体" w:cs="宋体"/>
          <w:color w:val="auto"/>
          <w:highlight w:val="none"/>
          <w:shd w:val="clear" w:color="auto" w:fill="auto"/>
          <w:lang w:eastAsia="zh-CN"/>
        </w:rPr>
        <w:t>主要条款</w:t>
      </w:r>
      <w:bookmarkEnd w:id="165"/>
      <w:bookmarkEnd w:id="166"/>
    </w:p>
    <w:bookmarkEnd w:id="162"/>
    <w:bookmarkEnd w:id="163"/>
    <w:bookmarkEnd w:id="164"/>
    <w:p w14:paraId="1C518B8B">
      <w:pPr>
        <w:spacing w:before="91" w:line="222" w:lineRule="auto"/>
        <w:ind w:left="1806"/>
        <w:rPr>
          <w:rFonts w:hint="eastAsia" w:ascii="宋体" w:hAnsi="宋体" w:eastAsia="宋体" w:cs="宋体"/>
          <w:sz w:val="24"/>
          <w:szCs w:val="24"/>
          <w:highlight w:val="none"/>
        </w:rPr>
      </w:pPr>
      <w:bookmarkStart w:id="167" w:name="_Toc10116"/>
      <w:bookmarkStart w:id="168" w:name="_Toc328739380"/>
      <w:bookmarkStart w:id="169" w:name="_Toc4169"/>
      <w:bookmarkStart w:id="170" w:name="_Toc524440146"/>
      <w:bookmarkStart w:id="171" w:name="_Toc22499"/>
      <w:r>
        <w:rPr>
          <w:rFonts w:hint="eastAsia" w:ascii="宋体" w:hAnsi="宋体" w:eastAsia="宋体" w:cs="宋体"/>
          <w:spacing w:val="-1"/>
          <w:sz w:val="28"/>
          <w:szCs w:val="28"/>
          <w:highlight w:val="none"/>
        </w:rPr>
        <w:t>（</w:t>
      </w:r>
      <w:r>
        <w:rPr>
          <w:rFonts w:hint="eastAsia" w:ascii="宋体" w:hAnsi="宋体" w:eastAsia="宋体" w:cs="宋体"/>
          <w:spacing w:val="-1"/>
          <w:sz w:val="24"/>
          <w:szCs w:val="24"/>
          <w:highlight w:val="none"/>
        </w:rPr>
        <w:t>本合同为合同样稿，最终稿由双方协商后确定）</w:t>
      </w:r>
    </w:p>
    <w:p w14:paraId="675A4431">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甲方（采购人）：_____________________________________</w:t>
      </w:r>
    </w:p>
    <w:p w14:paraId="221A4986">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甲方</w:t>
      </w:r>
      <w:r>
        <w:rPr>
          <w:rFonts w:hint="eastAsia" w:ascii="宋体" w:hAnsi="宋体" w:eastAsia="宋体" w:cs="宋体"/>
          <w:b/>
          <w:sz w:val="21"/>
          <w:szCs w:val="21"/>
          <w:highlight w:val="none"/>
          <w:lang w:val="en-US" w:eastAsia="zh-CN"/>
        </w:rPr>
        <w:t>地址</w:t>
      </w:r>
      <w:r>
        <w:rPr>
          <w:rFonts w:hint="eastAsia" w:ascii="宋体" w:hAnsi="宋体" w:eastAsia="宋体" w:cs="宋体"/>
          <w:b/>
          <w:sz w:val="21"/>
          <w:szCs w:val="21"/>
          <w:highlight w:val="none"/>
        </w:rPr>
        <w:t>：___________________________________________</w:t>
      </w:r>
    </w:p>
    <w:p w14:paraId="7DD7F97D">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乙方（</w:t>
      </w:r>
      <w:r>
        <w:rPr>
          <w:rFonts w:hint="eastAsia" w:ascii="宋体" w:hAnsi="宋体" w:eastAsia="宋体" w:cs="宋体"/>
          <w:b/>
          <w:sz w:val="21"/>
          <w:szCs w:val="21"/>
          <w:highlight w:val="none"/>
          <w:lang w:val="en-US" w:eastAsia="zh-CN"/>
        </w:rPr>
        <w:t>成交</w:t>
      </w:r>
      <w:r>
        <w:rPr>
          <w:rFonts w:hint="eastAsia" w:ascii="宋体" w:hAnsi="宋体" w:eastAsia="宋体" w:cs="宋体"/>
          <w:b/>
          <w:sz w:val="21"/>
          <w:szCs w:val="21"/>
          <w:highlight w:val="none"/>
        </w:rPr>
        <w:t>供应商）：_________________________________</w:t>
      </w:r>
    </w:p>
    <w:p w14:paraId="2709051C">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乙方</w:t>
      </w:r>
      <w:r>
        <w:rPr>
          <w:rFonts w:hint="eastAsia" w:ascii="宋体" w:hAnsi="宋体" w:eastAsia="宋体" w:cs="宋体"/>
          <w:b/>
          <w:sz w:val="21"/>
          <w:szCs w:val="21"/>
          <w:highlight w:val="none"/>
          <w:lang w:val="en-US" w:eastAsia="zh-CN"/>
        </w:rPr>
        <w:t>地址</w:t>
      </w:r>
      <w:r>
        <w:rPr>
          <w:rFonts w:hint="eastAsia" w:ascii="宋体" w:hAnsi="宋体" w:eastAsia="宋体" w:cs="宋体"/>
          <w:b/>
          <w:sz w:val="21"/>
          <w:szCs w:val="21"/>
          <w:highlight w:val="none"/>
        </w:rPr>
        <w:t>：___________________________________________</w:t>
      </w:r>
    </w:p>
    <w:p w14:paraId="6845BC54">
      <w:pPr>
        <w:keepNext w:val="0"/>
        <w:keepLines w:val="0"/>
        <w:pageBreakBefore w:val="0"/>
        <w:widowControl w:val="0"/>
        <w:kinsoku/>
        <w:wordWrap/>
        <w:overflowPunct/>
        <w:topLinePunct w:val="0"/>
        <w:autoSpaceDE/>
        <w:autoSpaceDN/>
        <w:bidi w:val="0"/>
        <w:adjustRightInd/>
        <w:snapToGrid/>
        <w:spacing w:line="360" w:lineRule="auto"/>
        <w:ind w:left="0" w:right="0" w:firstLine="428" w:firstLineChars="200"/>
        <w:textAlignment w:val="auto"/>
        <w:rPr>
          <w:rFonts w:hint="eastAsia" w:ascii="宋体" w:hAnsi="宋体" w:eastAsia="宋体" w:cs="宋体"/>
          <w:sz w:val="20"/>
          <w:szCs w:val="20"/>
          <w:highlight w:val="none"/>
        </w:rPr>
      </w:pPr>
      <w:r>
        <w:rPr>
          <w:rFonts w:hint="eastAsia" w:ascii="宋体" w:hAnsi="宋体" w:eastAsia="宋体" w:cs="宋体"/>
          <w:spacing w:val="7"/>
          <w:sz w:val="20"/>
          <w:szCs w:val="20"/>
          <w:highlight w:val="none"/>
        </w:rPr>
        <w:t>根据《中华人民共和国民法典》有关法律规定，遵循平</w:t>
      </w:r>
      <w:r>
        <w:rPr>
          <w:rFonts w:hint="eastAsia" w:ascii="宋体" w:hAnsi="宋体" w:eastAsia="宋体" w:cs="宋体"/>
          <w:spacing w:val="8"/>
          <w:sz w:val="20"/>
          <w:szCs w:val="20"/>
          <w:highlight w:val="none"/>
        </w:rPr>
        <w:t>等、</w:t>
      </w:r>
      <w:r>
        <w:rPr>
          <w:rFonts w:hint="eastAsia" w:ascii="宋体" w:hAnsi="宋体" w:eastAsia="宋体" w:cs="宋体"/>
          <w:spacing w:val="-46"/>
          <w:sz w:val="20"/>
          <w:szCs w:val="20"/>
          <w:highlight w:val="none"/>
        </w:rPr>
        <w:t xml:space="preserve"> </w:t>
      </w:r>
      <w:r>
        <w:rPr>
          <w:rFonts w:hint="eastAsia" w:ascii="宋体" w:hAnsi="宋体" w:eastAsia="宋体" w:cs="宋体"/>
          <w:spacing w:val="8"/>
          <w:sz w:val="20"/>
          <w:szCs w:val="20"/>
          <w:highlight w:val="none"/>
        </w:rPr>
        <w:t>自愿、公平和诚实信用的原则，双方就本建设</w:t>
      </w:r>
      <w:r>
        <w:rPr>
          <w:rFonts w:hint="eastAsia" w:ascii="宋体" w:hAnsi="宋体" w:eastAsia="宋体" w:cs="宋体"/>
          <w:spacing w:val="8"/>
          <w:sz w:val="20"/>
          <w:szCs w:val="20"/>
          <w:highlight w:val="none"/>
          <w:lang w:eastAsia="zh-CN"/>
        </w:rPr>
        <w:t>项目</w:t>
      </w:r>
      <w:r>
        <w:rPr>
          <w:rFonts w:hint="eastAsia" w:ascii="宋体" w:hAnsi="宋体" w:eastAsia="宋体" w:cs="宋体"/>
          <w:spacing w:val="8"/>
          <w:sz w:val="20"/>
          <w:szCs w:val="20"/>
          <w:highlight w:val="none"/>
        </w:rPr>
        <w:t>施工事项协商一致，订立本合同。</w:t>
      </w:r>
    </w:p>
    <w:p w14:paraId="7B322973">
      <w:pPr>
        <w:keepNext w:val="0"/>
        <w:keepLines w:val="0"/>
        <w:pageBreakBefore w:val="0"/>
        <w:widowControl w:val="0"/>
        <w:kinsoku/>
        <w:wordWrap/>
        <w:overflowPunct/>
        <w:topLinePunct w:val="0"/>
        <w:autoSpaceDE/>
        <w:autoSpaceDN/>
        <w:bidi w:val="0"/>
        <w:adjustRightInd/>
        <w:snapToGrid/>
        <w:spacing w:line="360" w:lineRule="auto"/>
        <w:ind w:left="0" w:right="0" w:firstLine="434" w:firstLineChars="200"/>
        <w:textAlignment w:val="auto"/>
        <w:rPr>
          <w:rFonts w:hint="eastAsia" w:ascii="宋体" w:hAnsi="宋体" w:eastAsia="宋体" w:cs="宋体"/>
          <w:b/>
          <w:bCs/>
          <w:spacing w:val="8"/>
          <w:sz w:val="20"/>
          <w:szCs w:val="20"/>
          <w:highlight w:val="none"/>
        </w:rPr>
      </w:pPr>
      <w:r>
        <w:rPr>
          <w:rFonts w:hint="eastAsia" w:ascii="宋体" w:hAnsi="宋体" w:eastAsia="宋体" w:cs="宋体"/>
          <w:b/>
          <w:bCs/>
          <w:spacing w:val="8"/>
          <w:sz w:val="20"/>
          <w:szCs w:val="20"/>
          <w:highlight w:val="none"/>
        </w:rPr>
        <w:t>一、</w:t>
      </w:r>
      <w:r>
        <w:rPr>
          <w:rFonts w:hint="eastAsia" w:ascii="宋体" w:hAnsi="宋体" w:eastAsia="宋体" w:cs="宋体"/>
          <w:b/>
          <w:bCs/>
          <w:spacing w:val="8"/>
          <w:sz w:val="20"/>
          <w:szCs w:val="20"/>
          <w:highlight w:val="none"/>
          <w:lang w:eastAsia="zh-CN"/>
        </w:rPr>
        <w:t>项目</w:t>
      </w:r>
      <w:r>
        <w:rPr>
          <w:rFonts w:hint="eastAsia" w:ascii="宋体" w:hAnsi="宋体" w:eastAsia="宋体" w:cs="宋体"/>
          <w:b/>
          <w:bCs/>
          <w:spacing w:val="8"/>
          <w:sz w:val="20"/>
          <w:szCs w:val="20"/>
          <w:highlight w:val="none"/>
        </w:rPr>
        <w:t>概况</w:t>
      </w:r>
    </w:p>
    <w:p w14:paraId="6E410139">
      <w:pPr>
        <w:keepNext w:val="0"/>
        <w:keepLines w:val="0"/>
        <w:pageBreakBefore w:val="0"/>
        <w:widowControl w:val="0"/>
        <w:kinsoku/>
        <w:wordWrap/>
        <w:overflowPunct/>
        <w:topLinePunct w:val="0"/>
        <w:autoSpaceDE/>
        <w:autoSpaceDN/>
        <w:bidi w:val="0"/>
        <w:adjustRightInd/>
        <w:snapToGrid/>
        <w:spacing w:line="360" w:lineRule="auto"/>
        <w:ind w:left="0" w:right="0" w:firstLine="432" w:firstLineChars="200"/>
        <w:textAlignment w:val="auto"/>
        <w:rPr>
          <w:rFonts w:hint="eastAsia" w:ascii="宋体" w:hAnsi="宋体" w:eastAsia="宋体" w:cs="宋体"/>
          <w:spacing w:val="8"/>
          <w:sz w:val="20"/>
          <w:szCs w:val="20"/>
          <w:highlight w:val="none"/>
        </w:rPr>
      </w:pPr>
      <w:r>
        <w:rPr>
          <w:rFonts w:hint="eastAsia" w:ascii="宋体" w:hAnsi="宋体" w:eastAsia="宋体" w:cs="宋体"/>
          <w:spacing w:val="8"/>
          <w:sz w:val="20"/>
          <w:szCs w:val="20"/>
          <w:highlight w:val="none"/>
        </w:rPr>
        <w:t>1.</w:t>
      </w:r>
      <w:r>
        <w:rPr>
          <w:rFonts w:hint="eastAsia" w:ascii="宋体" w:hAnsi="宋体" w:eastAsia="宋体" w:cs="宋体"/>
          <w:spacing w:val="8"/>
          <w:sz w:val="20"/>
          <w:szCs w:val="20"/>
          <w:highlight w:val="none"/>
          <w:lang w:eastAsia="zh-CN"/>
        </w:rPr>
        <w:t>项目</w:t>
      </w:r>
      <w:r>
        <w:rPr>
          <w:rFonts w:hint="eastAsia" w:ascii="宋体" w:hAnsi="宋体" w:eastAsia="宋体" w:cs="宋体"/>
          <w:spacing w:val="8"/>
          <w:sz w:val="20"/>
          <w:szCs w:val="20"/>
          <w:highlight w:val="none"/>
        </w:rPr>
        <w:t>名称：</w:t>
      </w:r>
      <w:r>
        <w:rPr>
          <w:rFonts w:hint="eastAsia" w:ascii="宋体" w:hAnsi="宋体" w:eastAsia="宋体" w:cs="宋体"/>
          <w:spacing w:val="8"/>
          <w:sz w:val="20"/>
          <w:szCs w:val="20"/>
          <w:highlight w:val="none"/>
          <w:lang w:eastAsia="zh-CN"/>
        </w:rPr>
        <w:t>咸阳市秦都区人民法院档案信息化设施设备项目</w:t>
      </w:r>
    </w:p>
    <w:p w14:paraId="2DDEBE30">
      <w:pPr>
        <w:keepNext w:val="0"/>
        <w:keepLines w:val="0"/>
        <w:pageBreakBefore w:val="0"/>
        <w:widowControl w:val="0"/>
        <w:kinsoku/>
        <w:wordWrap/>
        <w:overflowPunct/>
        <w:topLinePunct w:val="0"/>
        <w:autoSpaceDE/>
        <w:autoSpaceDN/>
        <w:bidi w:val="0"/>
        <w:adjustRightInd/>
        <w:snapToGrid/>
        <w:spacing w:line="360" w:lineRule="auto"/>
        <w:ind w:left="0" w:right="0" w:firstLine="432" w:firstLineChars="200"/>
        <w:textAlignment w:val="auto"/>
        <w:rPr>
          <w:rFonts w:hint="eastAsia" w:ascii="宋体" w:hAnsi="宋体" w:eastAsia="宋体" w:cs="宋体"/>
          <w:spacing w:val="8"/>
          <w:sz w:val="20"/>
          <w:szCs w:val="20"/>
          <w:highlight w:val="none"/>
          <w:lang w:eastAsia="zh-CN"/>
        </w:rPr>
      </w:pPr>
      <w:r>
        <w:rPr>
          <w:rFonts w:hint="eastAsia" w:ascii="宋体" w:hAnsi="宋体" w:eastAsia="宋体" w:cs="宋体"/>
          <w:spacing w:val="8"/>
          <w:sz w:val="20"/>
          <w:szCs w:val="20"/>
          <w:highlight w:val="none"/>
          <w:lang w:val="en-US" w:eastAsia="zh-CN"/>
        </w:rPr>
        <w:t>2</w:t>
      </w:r>
      <w:r>
        <w:rPr>
          <w:rFonts w:hint="eastAsia" w:ascii="宋体" w:hAnsi="宋体" w:eastAsia="宋体" w:cs="宋体"/>
          <w:spacing w:val="8"/>
          <w:sz w:val="20"/>
          <w:szCs w:val="20"/>
          <w:highlight w:val="none"/>
        </w:rPr>
        <w:t>.</w:t>
      </w:r>
      <w:r>
        <w:rPr>
          <w:rFonts w:hint="eastAsia" w:ascii="宋体" w:hAnsi="宋体" w:eastAsia="宋体" w:cs="宋体"/>
          <w:spacing w:val="8"/>
          <w:sz w:val="20"/>
          <w:szCs w:val="20"/>
          <w:highlight w:val="none"/>
          <w:lang w:eastAsia="zh-CN"/>
        </w:rPr>
        <w:t>项目</w:t>
      </w:r>
      <w:r>
        <w:rPr>
          <w:rFonts w:hint="eastAsia" w:ascii="宋体" w:hAnsi="宋体" w:eastAsia="宋体" w:cs="宋体"/>
          <w:spacing w:val="8"/>
          <w:sz w:val="20"/>
          <w:szCs w:val="20"/>
          <w:highlight w:val="none"/>
        </w:rPr>
        <w:t>地点：</w:t>
      </w:r>
      <w:r>
        <w:rPr>
          <w:rFonts w:hint="eastAsia" w:ascii="宋体" w:hAnsi="宋体" w:eastAsia="宋体" w:cs="宋体"/>
          <w:spacing w:val="8"/>
          <w:sz w:val="20"/>
          <w:szCs w:val="20"/>
          <w:highlight w:val="none"/>
          <w:lang w:val="en-US" w:eastAsia="zh-CN"/>
        </w:rPr>
        <w:t>采购人指定地点</w:t>
      </w:r>
    </w:p>
    <w:p w14:paraId="48DC0A9F">
      <w:pPr>
        <w:keepNext w:val="0"/>
        <w:keepLines w:val="0"/>
        <w:pageBreakBefore w:val="0"/>
        <w:kinsoku/>
        <w:wordWrap/>
        <w:overflowPunct/>
        <w:topLinePunct w:val="0"/>
        <w:bidi w:val="0"/>
        <w:spacing w:line="360" w:lineRule="auto"/>
        <w:ind w:left="0" w:right="0" w:firstLine="430" w:firstLineChars="200"/>
        <w:rPr>
          <w:rFonts w:hint="eastAsia" w:ascii="宋体" w:hAnsi="宋体" w:eastAsia="宋体" w:cs="宋体"/>
          <w:b/>
          <w:bCs/>
          <w:sz w:val="20"/>
          <w:szCs w:val="20"/>
          <w:highlight w:val="none"/>
          <w:lang w:eastAsia="zh-CN"/>
        </w:rPr>
      </w:pPr>
      <w:r>
        <w:rPr>
          <w:rFonts w:hint="eastAsia" w:ascii="宋体" w:hAnsi="宋体" w:eastAsia="宋体" w:cs="宋体"/>
          <w:b/>
          <w:bCs/>
          <w:spacing w:val="7"/>
          <w:sz w:val="20"/>
          <w:szCs w:val="20"/>
          <w:highlight w:val="none"/>
        </w:rPr>
        <w:t>二、</w:t>
      </w:r>
      <w:r>
        <w:rPr>
          <w:rFonts w:hint="eastAsia" w:ascii="宋体" w:hAnsi="宋体" w:eastAsia="宋体" w:cs="宋体"/>
          <w:b/>
          <w:bCs/>
          <w:spacing w:val="7"/>
          <w:sz w:val="20"/>
          <w:szCs w:val="20"/>
          <w:highlight w:val="none"/>
          <w:lang w:val="en-US" w:eastAsia="zh-CN"/>
        </w:rPr>
        <w:t>供货内容</w:t>
      </w:r>
    </w:p>
    <w:p w14:paraId="0452248B">
      <w:pPr>
        <w:keepNext w:val="0"/>
        <w:keepLines w:val="0"/>
        <w:pageBreakBefore w:val="0"/>
        <w:kinsoku/>
        <w:wordWrap/>
        <w:overflowPunct/>
        <w:topLinePunct w:val="0"/>
        <w:bidi w:val="0"/>
        <w:spacing w:line="360" w:lineRule="auto"/>
        <w:ind w:left="0" w:right="0" w:firstLine="432" w:firstLineChars="200"/>
        <w:rPr>
          <w:rFonts w:hint="eastAsia" w:ascii="宋体" w:hAnsi="宋体" w:eastAsia="宋体" w:cs="宋体"/>
          <w:spacing w:val="8"/>
          <w:sz w:val="20"/>
          <w:szCs w:val="20"/>
          <w:highlight w:val="none"/>
          <w:lang w:val="en-US" w:eastAsia="zh-CN"/>
        </w:rPr>
      </w:pPr>
      <w:r>
        <w:rPr>
          <w:rFonts w:hint="eastAsia" w:ascii="宋体" w:hAnsi="宋体" w:eastAsia="宋体" w:cs="宋体"/>
          <w:spacing w:val="8"/>
          <w:sz w:val="20"/>
          <w:szCs w:val="20"/>
          <w:highlight w:val="none"/>
          <w:lang w:val="en-US" w:eastAsia="zh-CN"/>
        </w:rPr>
        <w:t>详见文件要求。</w:t>
      </w:r>
    </w:p>
    <w:p w14:paraId="30269CF0">
      <w:pPr>
        <w:keepNext w:val="0"/>
        <w:keepLines w:val="0"/>
        <w:pageBreakBefore w:val="0"/>
        <w:kinsoku/>
        <w:wordWrap/>
        <w:overflowPunct/>
        <w:topLinePunct w:val="0"/>
        <w:bidi w:val="0"/>
        <w:spacing w:line="360" w:lineRule="auto"/>
        <w:ind w:left="0" w:right="0" w:firstLine="434" w:firstLineChars="200"/>
        <w:rPr>
          <w:rFonts w:hint="eastAsia" w:ascii="宋体" w:hAnsi="宋体" w:eastAsia="宋体" w:cs="宋体"/>
          <w:b/>
          <w:bCs/>
          <w:sz w:val="20"/>
          <w:szCs w:val="20"/>
          <w:highlight w:val="none"/>
        </w:rPr>
      </w:pPr>
      <w:r>
        <w:rPr>
          <w:rFonts w:hint="eastAsia" w:ascii="宋体" w:hAnsi="宋体" w:eastAsia="宋体" w:cs="宋体"/>
          <w:b/>
          <w:bCs/>
          <w:spacing w:val="8"/>
          <w:sz w:val="20"/>
          <w:szCs w:val="20"/>
          <w:highlight w:val="none"/>
        </w:rPr>
        <w:t>三、供货周期要求</w:t>
      </w:r>
    </w:p>
    <w:p w14:paraId="1A5B11C6">
      <w:pPr>
        <w:keepNext w:val="0"/>
        <w:keepLines w:val="0"/>
        <w:pageBreakBefore w:val="0"/>
        <w:kinsoku/>
        <w:wordWrap/>
        <w:overflowPunct/>
        <w:topLinePunct w:val="0"/>
        <w:bidi w:val="0"/>
        <w:spacing w:line="360" w:lineRule="auto"/>
        <w:ind w:left="0" w:right="0" w:firstLine="420" w:firstLineChars="200"/>
        <w:rPr>
          <w:rFonts w:hint="eastAsia" w:ascii="宋体" w:hAnsi="宋体" w:eastAsia="宋体" w:cs="宋体"/>
          <w:spacing w:val="7"/>
          <w:sz w:val="20"/>
          <w:szCs w:val="20"/>
          <w:highlight w:val="none"/>
        </w:rPr>
      </w:pPr>
      <w:r>
        <w:rPr>
          <w:rFonts w:hint="eastAsia" w:ascii="宋体" w:hAnsi="宋体" w:eastAsia="宋体" w:cs="宋体"/>
          <w:szCs w:val="21"/>
          <w:highlight w:val="none"/>
          <w:lang w:val="en-US" w:eastAsia="zh-CN"/>
        </w:rPr>
        <w:t>自合同签订之日起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日历天</w:t>
      </w:r>
    </w:p>
    <w:p w14:paraId="7936C591">
      <w:pPr>
        <w:keepNext w:val="0"/>
        <w:keepLines w:val="0"/>
        <w:pageBreakBefore w:val="0"/>
        <w:kinsoku/>
        <w:wordWrap/>
        <w:overflowPunct/>
        <w:topLinePunct w:val="0"/>
        <w:bidi w:val="0"/>
        <w:spacing w:line="360" w:lineRule="auto"/>
        <w:ind w:left="0" w:right="0"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四、合同价款、结算方式及付款方式</w:t>
      </w:r>
    </w:p>
    <w:p w14:paraId="68F5DE4D">
      <w:pPr>
        <w:adjustRightInd w:val="0"/>
        <w:snapToGrid w:val="0"/>
        <w:spacing w:line="360" w:lineRule="auto"/>
        <w:ind w:firstLine="420" w:firstLineChars="200"/>
        <w:rPr>
          <w:rFonts w:hint="eastAsia" w:ascii="宋体" w:hAnsi="宋体" w:eastAsia="宋体" w:cs="宋体"/>
          <w:color w:val="000000"/>
          <w:szCs w:val="21"/>
          <w:highlight w:val="none"/>
        </w:rPr>
      </w:pPr>
      <w:r>
        <w:rPr>
          <w:rFonts w:hint="eastAsia" w:ascii="宋体" w:hAnsi="宋体" w:eastAsia="宋体" w:cs="宋体"/>
          <w:highlight w:val="none"/>
        </w:rPr>
        <w:t>1、项目的总价款为</w:t>
      </w:r>
      <w:r>
        <w:rPr>
          <w:rFonts w:hint="eastAsia" w:ascii="宋体" w:hAnsi="宋体" w:eastAsia="宋体" w:cs="宋体"/>
          <w:highlight w:val="none"/>
          <w:u w:val="single"/>
          <w:lang w:val="en-US" w:eastAsia="zh-CN"/>
        </w:rPr>
        <w:t xml:space="preserve">人民币    </w:t>
      </w:r>
      <w:r>
        <w:rPr>
          <w:rFonts w:hint="eastAsia" w:ascii="宋体" w:hAnsi="宋体" w:eastAsia="宋体" w:cs="宋体"/>
          <w:highlight w:val="none"/>
          <w:u w:val="single"/>
        </w:rPr>
        <w:t>万元（</w:t>
      </w:r>
      <w:r>
        <w:rPr>
          <w:rFonts w:hint="eastAsia" w:ascii="宋体" w:hAnsi="宋体" w:eastAsia="宋体" w:cs="宋体"/>
          <w:highlight w:val="none"/>
          <w:u w:val="single"/>
          <w:lang w:val="en-US" w:eastAsia="zh-CN"/>
        </w:rPr>
        <w:t xml:space="preserve">大写：    </w:t>
      </w:r>
      <w:r>
        <w:rPr>
          <w:rFonts w:hint="eastAsia" w:ascii="宋体" w:hAnsi="宋体" w:eastAsia="宋体" w:cs="宋体"/>
          <w:highlight w:val="none"/>
          <w:u w:val="single"/>
        </w:rPr>
        <w:t>万</w:t>
      </w:r>
      <w:r>
        <w:rPr>
          <w:rFonts w:hint="eastAsia" w:ascii="宋体" w:hAnsi="宋体" w:eastAsia="宋体" w:cs="宋体"/>
          <w:highlight w:val="none"/>
          <w:u w:val="single"/>
          <w:lang w:val="en-US" w:eastAsia="zh-CN"/>
        </w:rPr>
        <w:t>元</w:t>
      </w:r>
      <w:r>
        <w:rPr>
          <w:rFonts w:hint="eastAsia" w:ascii="宋体" w:hAnsi="宋体" w:eastAsia="宋体" w:cs="宋体"/>
          <w:highlight w:val="none"/>
          <w:u w:val="single"/>
        </w:rPr>
        <w:t>整，含税）</w:t>
      </w:r>
      <w:r>
        <w:rPr>
          <w:rFonts w:hint="eastAsia" w:ascii="宋体" w:hAnsi="宋体" w:eastAsia="宋体" w:cs="宋体"/>
          <w:color w:val="000000"/>
          <w:szCs w:val="21"/>
          <w:highlight w:val="none"/>
        </w:rPr>
        <w:t>（包括设备的采购、包装、运输到采购人指定地点、安装、保险、相关税费等招标文件及合同明示和暗示的所有风险费用）不会因国家政策调整及市场变化因素而得到调整。</w:t>
      </w:r>
    </w:p>
    <w:p w14:paraId="7702ABDA">
      <w:pPr>
        <w:keepNext w:val="0"/>
        <w:keepLines w:val="0"/>
        <w:pageBreakBefore w:val="0"/>
        <w:kinsoku/>
        <w:wordWrap/>
        <w:overflowPunct/>
        <w:topLinePunct w:val="0"/>
        <w:bidi w:val="0"/>
        <w:spacing w:line="360" w:lineRule="auto"/>
        <w:ind w:left="0" w:right="0" w:firstLine="422" w:firstLineChars="200"/>
        <w:rPr>
          <w:rFonts w:hint="eastAsia" w:ascii="宋体" w:hAnsi="宋体" w:eastAsia="宋体" w:cs="宋体"/>
          <w:color w:val="00B050"/>
          <w:szCs w:val="21"/>
          <w:highlight w:val="none"/>
        </w:rPr>
      </w:pPr>
      <w:r>
        <w:rPr>
          <w:rFonts w:hint="eastAsia" w:ascii="宋体" w:hAnsi="宋体" w:eastAsia="宋体" w:cs="宋体"/>
          <w:b/>
          <w:szCs w:val="21"/>
          <w:highlight w:val="none"/>
        </w:rPr>
        <w:t xml:space="preserve">五、付款及结算方式      </w:t>
      </w:r>
      <w:r>
        <w:rPr>
          <w:rFonts w:hint="eastAsia" w:ascii="宋体" w:hAnsi="宋体" w:eastAsia="宋体" w:cs="宋体"/>
          <w:color w:val="00B050"/>
          <w:szCs w:val="21"/>
          <w:highlight w:val="none"/>
        </w:rPr>
        <w:t xml:space="preserve">                       </w:t>
      </w:r>
    </w:p>
    <w:p w14:paraId="42D9D6B3">
      <w:pPr>
        <w:keepNext w:val="0"/>
        <w:keepLines w:val="0"/>
        <w:pageBreakBefore w:val="0"/>
        <w:kinsoku/>
        <w:wordWrap/>
        <w:overflowPunct/>
        <w:topLinePunct w:val="0"/>
        <w:bidi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color w:val="000000"/>
          <w:szCs w:val="21"/>
          <w:highlight w:val="none"/>
          <w:lang w:val="en-US" w:eastAsia="zh-CN"/>
        </w:rPr>
        <w:t>1、</w:t>
      </w:r>
      <w:r>
        <w:rPr>
          <w:rFonts w:hint="eastAsia" w:ascii="宋体" w:hAnsi="宋体" w:eastAsia="宋体" w:cs="宋体"/>
          <w:highlight w:val="none"/>
          <w:lang w:val="en-US" w:eastAsia="zh-CN"/>
        </w:rPr>
        <w:t>支付方式：</w:t>
      </w:r>
      <w:r>
        <w:rPr>
          <w:rFonts w:hint="eastAsia" w:ascii="宋体" w:hAnsi="宋体" w:eastAsia="宋体" w:cs="宋体"/>
          <w:highlight w:val="none"/>
          <w:lang w:eastAsia="zh-CN"/>
        </w:rPr>
        <w:t>合同签订后，</w:t>
      </w:r>
      <w:r>
        <w:rPr>
          <w:rFonts w:hint="eastAsia" w:ascii="宋体" w:hAnsi="宋体" w:eastAsia="宋体" w:cs="宋体"/>
          <w:highlight w:val="none"/>
          <w:lang w:val="en-US" w:eastAsia="zh-CN"/>
        </w:rPr>
        <w:t>乙方提供等额发票后</w:t>
      </w:r>
      <w:r>
        <w:rPr>
          <w:rFonts w:hint="eastAsia" w:ascii="宋体" w:hAnsi="宋体" w:eastAsia="宋体" w:cs="宋体"/>
          <w:highlight w:val="none"/>
          <w:lang w:eastAsia="zh-CN"/>
        </w:rPr>
        <w:t>，</w:t>
      </w:r>
      <w:r>
        <w:rPr>
          <w:rFonts w:hint="eastAsia" w:ascii="宋体" w:hAnsi="宋体" w:eastAsia="宋体" w:cs="宋体"/>
          <w:highlight w:val="none"/>
        </w:rPr>
        <w:t>甲方</w:t>
      </w:r>
      <w:r>
        <w:rPr>
          <w:rFonts w:hint="eastAsia" w:ascii="宋体" w:hAnsi="宋体" w:eastAsia="宋体" w:cs="宋体"/>
          <w:highlight w:val="none"/>
          <w:lang w:val="en-US" w:eastAsia="zh-CN"/>
        </w:rPr>
        <w:t>须在5个工作日内</w:t>
      </w:r>
      <w:r>
        <w:rPr>
          <w:rFonts w:hint="eastAsia" w:ascii="宋体" w:hAnsi="宋体" w:eastAsia="宋体" w:cs="宋体"/>
          <w:highlight w:val="none"/>
        </w:rPr>
        <w:t>通过银行转账形式向乙方预付</w:t>
      </w:r>
      <w:r>
        <w:rPr>
          <w:rFonts w:hint="eastAsia" w:ascii="宋体" w:hAnsi="宋体" w:eastAsia="宋体" w:cs="宋体"/>
          <w:highlight w:val="none"/>
          <w:lang w:val="en-US" w:eastAsia="zh-CN"/>
        </w:rPr>
        <w:t>合同</w:t>
      </w:r>
      <w:r>
        <w:rPr>
          <w:rFonts w:hint="eastAsia" w:ascii="宋体" w:hAnsi="宋体" w:eastAsia="宋体" w:cs="宋体"/>
          <w:highlight w:val="none"/>
        </w:rPr>
        <w:t>总款价</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万元</w:t>
      </w:r>
      <w:r>
        <w:rPr>
          <w:rFonts w:hint="eastAsia" w:ascii="宋体" w:hAnsi="宋体" w:eastAsia="宋体" w:cs="宋体"/>
          <w:highlight w:val="none"/>
          <w:u w:val="single"/>
          <w:lang w:eastAsia="zh-CN"/>
        </w:rPr>
        <w:t>（</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rPr>
        <w:t>万元整）</w:t>
      </w:r>
      <w:r>
        <w:rPr>
          <w:rFonts w:hint="eastAsia" w:ascii="宋体" w:hAnsi="宋体" w:eastAsia="宋体" w:cs="宋体"/>
          <w:szCs w:val="21"/>
          <w:highlight w:val="none"/>
        </w:rPr>
        <w:t>。</w:t>
      </w:r>
    </w:p>
    <w:p w14:paraId="5C2745B3">
      <w:pPr>
        <w:keepNext w:val="0"/>
        <w:keepLines w:val="0"/>
        <w:pageBreakBefore w:val="0"/>
        <w:kinsoku/>
        <w:wordWrap/>
        <w:overflowPunct/>
        <w:topLinePunct w:val="0"/>
        <w:bidi w:val="0"/>
        <w:spacing w:line="360" w:lineRule="auto"/>
        <w:ind w:left="0" w:right="0"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2、履约保证金</w:t>
      </w:r>
      <w:r>
        <w:rPr>
          <w:rFonts w:hint="eastAsia" w:ascii="宋体" w:hAnsi="宋体" w:eastAsia="宋体" w:cs="宋体"/>
          <w:highlight w:val="none"/>
          <w:lang w:val="en-US" w:eastAsia="zh-CN"/>
        </w:rPr>
        <w:t>为</w:t>
      </w:r>
      <w:r>
        <w:rPr>
          <w:rFonts w:hint="eastAsia" w:ascii="宋体" w:hAnsi="宋体" w:eastAsia="宋体" w:cs="宋体"/>
          <w:highlight w:val="none"/>
          <w:u w:val="single"/>
          <w:lang w:val="en-US" w:eastAsia="zh-CN"/>
        </w:rPr>
        <w:t>人民币    万元（大写：    万元整）</w:t>
      </w:r>
      <w:r>
        <w:rPr>
          <w:rFonts w:hint="eastAsia" w:ascii="宋体" w:hAnsi="宋体" w:eastAsia="宋体" w:cs="宋体"/>
          <w:highlight w:val="none"/>
          <w:lang w:val="en-US" w:eastAsia="zh-CN"/>
        </w:rPr>
        <w:t>。支付方式：乙方收到预付款后，需在3个工作日内，通过银行转账向甲方支付履约保证金。退还方式：乙方完成全部工作提交完成项目资料及工作报告并经甲方确认后，甲方须于10个工作日内退还全部履约保障金。</w:t>
      </w:r>
    </w:p>
    <w:p w14:paraId="41DD5782">
      <w:pPr>
        <w:keepNext w:val="0"/>
        <w:keepLines w:val="0"/>
        <w:pageBreakBefore w:val="0"/>
        <w:kinsoku/>
        <w:wordWrap/>
        <w:overflowPunct/>
        <w:topLinePunct w:val="0"/>
        <w:bidi w:val="0"/>
        <w:adjustRightInd w:val="0"/>
        <w:snapToGrid w:val="0"/>
        <w:spacing w:line="360" w:lineRule="auto"/>
        <w:ind w:left="0" w:right="0"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六、运输</w:t>
      </w:r>
    </w:p>
    <w:p w14:paraId="267C3B9C">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1、乙方负责所有货物的运输。确保货物安全、完整到达使用地点，运杂费用包含在总价内，包括货物从供货地点到使用地点的运输费、保险费、搬运费等。</w:t>
      </w:r>
    </w:p>
    <w:p w14:paraId="4499CB4F">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2、所有货物在运输、搬运、安装的过程中，造成甲方损失的，由乙方为甲方修复或更新。</w:t>
      </w:r>
    </w:p>
    <w:p w14:paraId="11FFDC15">
      <w:pPr>
        <w:keepNext w:val="0"/>
        <w:keepLines w:val="0"/>
        <w:pageBreakBefore w:val="0"/>
        <w:kinsoku/>
        <w:wordWrap/>
        <w:overflowPunct/>
        <w:topLinePunct w:val="0"/>
        <w:bidi w:val="0"/>
        <w:adjustRightInd w:val="0"/>
        <w:snapToGrid w:val="0"/>
        <w:spacing w:line="360" w:lineRule="auto"/>
        <w:ind w:left="0" w:right="0"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七、质量保证</w:t>
      </w:r>
    </w:p>
    <w:p w14:paraId="2BD3BB66">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1、乙方提供货物必须是原品牌制造厂制造的最新工艺、生产的最新产品。</w:t>
      </w:r>
    </w:p>
    <w:p w14:paraId="64C3529D">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2、所供货物必须是经过办理正常手续的全新产品。</w:t>
      </w:r>
    </w:p>
    <w:p w14:paraId="7A779849">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3、所供货物是经过国家法定检验、注册、准许市场销售的合法产品。</w:t>
      </w:r>
    </w:p>
    <w:p w14:paraId="28569BD4">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4、货物性能稳定、具有较好的使用效果，质量保证措施完善，符合国家相关标准。</w:t>
      </w:r>
    </w:p>
    <w:p w14:paraId="0EB66571">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5、货物的质保期为验收合格后</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，终身维护保养，质保期后，只收取成本费用。</w:t>
      </w:r>
    </w:p>
    <w:p w14:paraId="73BF42F5">
      <w:pPr>
        <w:keepNext w:val="0"/>
        <w:keepLines w:val="0"/>
        <w:pageBreakBefore w:val="0"/>
        <w:kinsoku/>
        <w:wordWrap/>
        <w:overflowPunct/>
        <w:topLinePunct w:val="0"/>
        <w:bidi w:val="0"/>
        <w:adjustRightInd w:val="0"/>
        <w:snapToGrid w:val="0"/>
        <w:spacing w:line="360" w:lineRule="auto"/>
        <w:ind w:left="0" w:right="0"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八、包装要求</w:t>
      </w:r>
    </w:p>
    <w:p w14:paraId="15D021F0">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1、除合同另有规定外，乙方提供的全部货物，均应按标准保护措施进行包装，并确保货物安全无损运抵甲方指定地点。</w:t>
      </w:r>
    </w:p>
    <w:p w14:paraId="52008B63">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2、每一个包装箱内应附一份详细装箱单和质量合格证。</w:t>
      </w:r>
    </w:p>
    <w:p w14:paraId="623E84DD">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3、乙方应保证甲方在使用该货物或其任何一部分时免受第三方提出侵犯其专利权·商标权或工业设计权的起诉。</w:t>
      </w:r>
    </w:p>
    <w:p w14:paraId="3B875614">
      <w:pPr>
        <w:keepNext w:val="0"/>
        <w:keepLines w:val="0"/>
        <w:pageBreakBefore w:val="0"/>
        <w:kinsoku/>
        <w:wordWrap/>
        <w:overflowPunct/>
        <w:topLinePunct w:val="0"/>
        <w:bidi w:val="0"/>
        <w:adjustRightInd w:val="0"/>
        <w:snapToGrid w:val="0"/>
        <w:spacing w:line="360" w:lineRule="auto"/>
        <w:ind w:left="0" w:right="0" w:firstLine="422" w:firstLineChars="200"/>
        <w:rPr>
          <w:rFonts w:hint="eastAsia" w:ascii="宋体" w:hAnsi="宋体" w:eastAsia="宋体" w:cs="宋体"/>
          <w:b/>
          <w:szCs w:val="21"/>
          <w:highlight w:val="none"/>
          <w:lang w:eastAsia="zh-CN"/>
        </w:rPr>
      </w:pPr>
      <w:r>
        <w:rPr>
          <w:rFonts w:hint="eastAsia" w:ascii="宋体" w:hAnsi="宋体" w:eastAsia="宋体" w:cs="宋体"/>
          <w:b/>
          <w:szCs w:val="21"/>
          <w:highlight w:val="none"/>
        </w:rPr>
        <w:t>九、技术服务</w:t>
      </w:r>
      <w:r>
        <w:rPr>
          <w:rFonts w:hint="eastAsia" w:ascii="宋体" w:hAnsi="宋体" w:eastAsia="宋体" w:cs="宋体"/>
          <w:b/>
          <w:szCs w:val="21"/>
          <w:highlight w:val="none"/>
          <w:lang w:eastAsia="zh-CN"/>
        </w:rPr>
        <w:t>（</w:t>
      </w:r>
      <w:r>
        <w:rPr>
          <w:rFonts w:hint="eastAsia" w:ascii="宋体" w:hAnsi="宋体" w:eastAsia="宋体" w:cs="宋体"/>
          <w:b/>
          <w:szCs w:val="21"/>
          <w:highlight w:val="none"/>
          <w:lang w:val="en-US" w:eastAsia="zh-CN"/>
        </w:rPr>
        <w:t>包括但不仅限于以下内容</w:t>
      </w:r>
      <w:r>
        <w:rPr>
          <w:rFonts w:hint="eastAsia" w:ascii="宋体" w:hAnsi="宋体" w:eastAsia="宋体" w:cs="宋体"/>
          <w:b/>
          <w:szCs w:val="21"/>
          <w:highlight w:val="none"/>
          <w:lang w:eastAsia="zh-CN"/>
        </w:rPr>
        <w:t>）</w:t>
      </w:r>
    </w:p>
    <w:p w14:paraId="5D0AC9F9">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1、对技术服务的要求：</w:t>
      </w:r>
    </w:p>
    <w:p w14:paraId="0711C350">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2、技术资料：</w:t>
      </w:r>
    </w:p>
    <w:p w14:paraId="7D602DF1">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2-1、产品合格证及检验报告；</w:t>
      </w:r>
    </w:p>
    <w:p w14:paraId="2FFCA862">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2-2、产品使用说明书（中文）；</w:t>
      </w:r>
    </w:p>
    <w:p w14:paraId="6592C842">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2-3、中国商品检验局出具的商检合格证明（进口产品）；</w:t>
      </w:r>
    </w:p>
    <w:p w14:paraId="2F129A9F">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2-4、其它资料。</w:t>
      </w:r>
    </w:p>
    <w:p w14:paraId="35CE375B">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3、技术培训：</w:t>
      </w:r>
    </w:p>
    <w:p w14:paraId="3F5F0065">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3-1、培训内容：</w:t>
      </w:r>
    </w:p>
    <w:p w14:paraId="57C1C6C8">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3-2、培训地点：</w:t>
      </w:r>
    </w:p>
    <w:p w14:paraId="15E4C62E">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3-3、培训时间：</w:t>
      </w:r>
    </w:p>
    <w:p w14:paraId="04B2734A">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3-4、培训人数：</w:t>
      </w:r>
    </w:p>
    <w:p w14:paraId="57BAA4CE">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3-5、培训费用：受训人员的食宿费、资料费、培训场地费、耗材（包括水电费等）费等已包含在合同总价中，甲方不再另行支付。</w:t>
      </w:r>
    </w:p>
    <w:p w14:paraId="1C501C9E">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4、售后服务</w:t>
      </w:r>
    </w:p>
    <w:p w14:paraId="49B7EC21">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4-1、乙方在接到甲方保修电话故障通知后在</w:t>
      </w:r>
      <w:r>
        <w:rPr>
          <w:rFonts w:hint="eastAsia" w:ascii="宋体" w:hAnsi="宋体" w:eastAsia="宋体" w:cs="宋体"/>
          <w:szCs w:val="21"/>
          <w:highlight w:val="none"/>
          <w:u w:val="single"/>
        </w:rPr>
        <w:t>24</w:t>
      </w:r>
      <w:r>
        <w:rPr>
          <w:rFonts w:hint="eastAsia" w:ascii="宋体" w:hAnsi="宋体" w:eastAsia="宋体" w:cs="宋体"/>
          <w:szCs w:val="21"/>
          <w:highlight w:val="none"/>
        </w:rPr>
        <w:t>小时内派出合格的维修人员到达现场进行维修服务，承担相应费用，若需将产品送回生产厂，乙方应提供备用机、承担维修产品所需的往返费用。</w:t>
      </w:r>
    </w:p>
    <w:p w14:paraId="0A9D30FF">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4-2、如果乙方在收到通知后2天内没有弥补缺陷，甲方可采取必要的补救措施，但其风险和费用将由乙方承担，甲方根据合同规定对乙方行使的其它权力不受影响。甲方亦可从质保金中扣回索赔金额。</w:t>
      </w:r>
    </w:p>
    <w:p w14:paraId="5EE31061">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5、伴随服务</w:t>
      </w:r>
    </w:p>
    <w:p w14:paraId="112741E3">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5-1、乙方应随同每套货物提供相应的中文的技术文件。</w:t>
      </w:r>
    </w:p>
    <w:p w14:paraId="02401F0D">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5-1-1、完整的操作使用手册和维护、修理技术文件，图纸、保修卡等。</w:t>
      </w:r>
    </w:p>
    <w:p w14:paraId="3AF93B0F">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5-1-2、制造厂的检验、测试报告、检验合格证书，计量合格等级证书，质量保证书等文件须随产品装箱提供。</w:t>
      </w:r>
    </w:p>
    <w:p w14:paraId="5398BC1E">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5-1-3、必须的其它技术资料。</w:t>
      </w:r>
    </w:p>
    <w:p w14:paraId="459A1672">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5-2、伴随服务的费用已含在合同价中，不单独进行支付。</w:t>
      </w:r>
    </w:p>
    <w:p w14:paraId="6A1B70A5">
      <w:pPr>
        <w:keepNext w:val="0"/>
        <w:keepLines w:val="0"/>
        <w:pageBreakBefore w:val="0"/>
        <w:kinsoku/>
        <w:wordWrap/>
        <w:overflowPunct/>
        <w:topLinePunct w:val="0"/>
        <w:bidi w:val="0"/>
        <w:adjustRightInd w:val="0"/>
        <w:snapToGrid w:val="0"/>
        <w:spacing w:line="360" w:lineRule="auto"/>
        <w:ind w:left="0" w:right="0"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十、验收</w:t>
      </w:r>
    </w:p>
    <w:p w14:paraId="1724CA4C">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1、到货验收：货物到货后，由甲方与乙方共同进行外观验收，验收内容包括，外包装的完好性，货物品牌、规格、数量及产地与合同要求的一致性。</w:t>
      </w:r>
    </w:p>
    <w:p w14:paraId="6602D3A6">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2、货物运行验收：乙方安装调试合格后，向甲方提出验收申请，甲方接到乙方验收申请后组织验收（必要时可聘请相应专家或委托相应部门验收），验收合格后，出具使用验收合格证明。</w:t>
      </w:r>
    </w:p>
    <w:p w14:paraId="3197F2CC">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3、最终验收：最终验收结果作为付款依据，乙方填写验收单，并向甲方提交实施过程中的所有资料，以便甲方日后管理和维护。</w:t>
      </w:r>
    </w:p>
    <w:p w14:paraId="660D83B6">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4、质保期满后：由乙方出具质保期运行质量报告，作为质保金支付依据，若存在质量问题，应按相应规定协商处理。</w:t>
      </w:r>
    </w:p>
    <w:p w14:paraId="49ED8D91">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5、验收依据：</w:t>
      </w:r>
    </w:p>
    <w:p w14:paraId="51F89418">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5-1、合同文本、合同附件、招标文件、投标文件。</w:t>
      </w:r>
    </w:p>
    <w:p w14:paraId="0886C112">
      <w:pPr>
        <w:keepNext w:val="0"/>
        <w:keepLines w:val="0"/>
        <w:pageBreakBefore w:val="0"/>
        <w:kinsoku/>
        <w:wordWrap/>
        <w:overflowPunct/>
        <w:topLinePunct w:val="0"/>
        <w:bidi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5-2、国内相应的标准、规范。</w:t>
      </w:r>
    </w:p>
    <w:p w14:paraId="23873CC1">
      <w:pPr>
        <w:keepNext w:val="0"/>
        <w:keepLines w:val="0"/>
        <w:pageBreakBefore w:val="0"/>
        <w:kinsoku/>
        <w:wordWrap/>
        <w:overflowPunct/>
        <w:topLinePunct w:val="0"/>
        <w:bidi w:val="0"/>
        <w:adjustRightInd w:val="0"/>
        <w:snapToGrid w:val="0"/>
        <w:spacing w:line="360" w:lineRule="auto"/>
        <w:ind w:left="0" w:right="0" w:firstLine="422" w:firstLineChars="200"/>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十一</w:t>
      </w:r>
      <w:r>
        <w:rPr>
          <w:rFonts w:hint="eastAsia" w:ascii="宋体" w:hAnsi="宋体" w:eastAsia="宋体" w:cs="宋体"/>
          <w:b/>
          <w:szCs w:val="21"/>
          <w:highlight w:val="none"/>
        </w:rPr>
        <w:t>、违约责任</w:t>
      </w:r>
    </w:p>
    <w:p w14:paraId="2DE90F55">
      <w:pPr>
        <w:keepNext w:val="0"/>
        <w:keepLines w:val="0"/>
        <w:pageBreakBefore w:val="0"/>
        <w:numPr>
          <w:ilvl w:val="0"/>
          <w:numId w:val="0"/>
        </w:numPr>
        <w:kinsoku/>
        <w:wordWrap/>
        <w:overflowPunct/>
        <w:topLinePunct w:val="0"/>
        <w:bidi w:val="0"/>
        <w:adjustRightInd w:val="0"/>
        <w:snapToGrid w:val="0"/>
        <w:spacing w:line="360" w:lineRule="auto"/>
        <w:ind w:leftChars="200" w:right="0" w:rightChars="0"/>
        <w:rPr>
          <w:rFonts w:hint="eastAsia" w:ascii="宋体" w:hAnsi="宋体" w:eastAsia="宋体" w:cs="宋体"/>
          <w:szCs w:val="21"/>
          <w:highlight w:val="none"/>
        </w:rPr>
      </w:pP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按《中华人民共和国</w:t>
      </w:r>
      <w:r>
        <w:rPr>
          <w:rFonts w:hint="eastAsia" w:ascii="宋体" w:hAnsi="宋体" w:eastAsia="宋体" w:cs="宋体"/>
          <w:szCs w:val="21"/>
          <w:highlight w:val="none"/>
          <w:lang w:val="en-US" w:eastAsia="zh-CN"/>
        </w:rPr>
        <w:t>民法典</w:t>
      </w:r>
      <w:r>
        <w:rPr>
          <w:rFonts w:hint="eastAsia" w:ascii="宋体" w:hAnsi="宋体" w:eastAsia="宋体" w:cs="宋体"/>
          <w:szCs w:val="21"/>
          <w:highlight w:val="none"/>
        </w:rPr>
        <w:t>》中的相关条款执行。</w:t>
      </w:r>
    </w:p>
    <w:p w14:paraId="3DD53F0E">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2、乙方履约延误</w:t>
      </w:r>
    </w:p>
    <w:p w14:paraId="5B0A381B">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2-1、如乙方事先未征得甲方同意并得到甲方的谅解而单方面延迟交货，将按违约终止合同。</w:t>
      </w:r>
    </w:p>
    <w:p w14:paraId="435019AF">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-2、在履行合同过程中，如果乙方遇到可能妨碍按时交货和提供服务的情况，应及时以书面形式将拖延的事实，可能拖延的期限和理由通知甲方。甲方在收到乙方通知后，根据事情情况决定是否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6AF0C4F8">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3、违约终止合同：未按合同要求提供货物或质量不能满足技术要求，甲方会同监督机构有权终止合同，对乙方违约行为进行追究，同时按政府采购法的有关规定进行相应的处罚。</w:t>
      </w:r>
    </w:p>
    <w:p w14:paraId="74DB9988">
      <w:pPr>
        <w:keepNext w:val="0"/>
        <w:keepLines w:val="0"/>
        <w:pageBreakBefore w:val="0"/>
        <w:kinsoku/>
        <w:wordWrap/>
        <w:overflowPunct/>
        <w:topLinePunct w:val="0"/>
        <w:bidi w:val="0"/>
        <w:adjustRightInd w:val="0"/>
        <w:snapToGrid w:val="0"/>
        <w:spacing w:line="360" w:lineRule="auto"/>
        <w:ind w:left="0" w:right="0"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十</w:t>
      </w:r>
      <w:r>
        <w:rPr>
          <w:rFonts w:hint="eastAsia" w:ascii="宋体" w:hAnsi="宋体" w:eastAsia="宋体" w:cs="宋体"/>
          <w:b/>
          <w:szCs w:val="21"/>
          <w:highlight w:val="none"/>
          <w:lang w:val="en-US" w:eastAsia="zh-CN"/>
        </w:rPr>
        <w:t>二</w:t>
      </w:r>
      <w:r>
        <w:rPr>
          <w:rFonts w:hint="eastAsia" w:ascii="宋体" w:hAnsi="宋体" w:eastAsia="宋体" w:cs="宋体"/>
          <w:b/>
          <w:szCs w:val="21"/>
          <w:highlight w:val="none"/>
        </w:rPr>
        <w:t>、合同组成</w:t>
      </w:r>
    </w:p>
    <w:p w14:paraId="4FA8642B">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1、中标通知书</w:t>
      </w:r>
    </w:p>
    <w:p w14:paraId="08298288">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2、合同文件</w:t>
      </w:r>
    </w:p>
    <w:p w14:paraId="43239568">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3、国家相关规范及标准</w:t>
      </w:r>
    </w:p>
    <w:p w14:paraId="78A65610">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4、供货产品技术规格及参数表</w:t>
      </w:r>
    </w:p>
    <w:p w14:paraId="69CA9254">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5、招标文件</w:t>
      </w:r>
    </w:p>
    <w:p w14:paraId="4326E670">
      <w:pPr>
        <w:keepNext w:val="0"/>
        <w:keepLines w:val="0"/>
        <w:pageBreakBefore w:val="0"/>
        <w:kinsoku/>
        <w:wordWrap/>
        <w:overflowPunct/>
        <w:topLinePunct w:val="0"/>
        <w:bidi w:val="0"/>
        <w:adjustRightInd w:val="0"/>
        <w:snapToGrid w:val="0"/>
        <w:spacing w:line="360" w:lineRule="auto"/>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6、投标文件</w:t>
      </w:r>
    </w:p>
    <w:p w14:paraId="44EB2AE7">
      <w:pPr>
        <w:keepNext w:val="0"/>
        <w:keepLines w:val="0"/>
        <w:pageBreakBefore w:val="0"/>
        <w:widowControl/>
        <w:kinsoku/>
        <w:wordWrap/>
        <w:overflowPunct/>
        <w:topLinePunct w:val="0"/>
        <w:autoSpaceDE w:val="0"/>
        <w:autoSpaceDN w:val="0"/>
        <w:bidi w:val="0"/>
        <w:snapToGrid w:val="0"/>
        <w:spacing w:line="360" w:lineRule="auto"/>
        <w:ind w:left="0" w:right="0" w:firstLine="422" w:firstLineChars="200"/>
        <w:textAlignment w:val="bottom"/>
        <w:rPr>
          <w:rFonts w:hint="eastAsia" w:ascii="宋体" w:hAnsi="宋体" w:eastAsia="宋体" w:cs="宋体"/>
          <w:b/>
          <w:color w:val="000000"/>
          <w:kern w:val="0"/>
          <w:szCs w:val="21"/>
          <w:highlight w:val="none"/>
        </w:rPr>
      </w:pPr>
      <w:r>
        <w:rPr>
          <w:rFonts w:hint="eastAsia" w:ascii="宋体" w:hAnsi="宋体" w:eastAsia="宋体" w:cs="宋体"/>
          <w:b/>
          <w:color w:val="000000"/>
          <w:kern w:val="0"/>
          <w:szCs w:val="21"/>
          <w:highlight w:val="none"/>
        </w:rPr>
        <w:t>十</w:t>
      </w:r>
      <w:r>
        <w:rPr>
          <w:rFonts w:hint="eastAsia" w:ascii="宋体" w:hAnsi="宋体" w:eastAsia="宋体" w:cs="宋体"/>
          <w:b/>
          <w:color w:val="000000"/>
          <w:kern w:val="0"/>
          <w:szCs w:val="21"/>
          <w:highlight w:val="none"/>
          <w:lang w:val="en-US" w:eastAsia="zh-CN"/>
        </w:rPr>
        <w:t>三</w:t>
      </w:r>
      <w:r>
        <w:rPr>
          <w:rFonts w:hint="eastAsia" w:ascii="宋体" w:hAnsi="宋体" w:eastAsia="宋体" w:cs="宋体"/>
          <w:b/>
          <w:color w:val="000000"/>
          <w:kern w:val="0"/>
          <w:szCs w:val="21"/>
          <w:highlight w:val="none"/>
        </w:rPr>
        <w:t>、合同生效及其它</w:t>
      </w:r>
    </w:p>
    <w:p w14:paraId="067EDE7E">
      <w:pPr>
        <w:keepNext w:val="0"/>
        <w:keepLines w:val="0"/>
        <w:pageBreakBefore w:val="0"/>
        <w:widowControl/>
        <w:kinsoku/>
        <w:wordWrap/>
        <w:overflowPunct/>
        <w:topLinePunct w:val="0"/>
        <w:autoSpaceDE w:val="0"/>
        <w:autoSpaceDN w:val="0"/>
        <w:bidi w:val="0"/>
        <w:snapToGrid w:val="0"/>
        <w:spacing w:line="360" w:lineRule="auto"/>
        <w:ind w:left="0" w:right="0" w:firstLine="420" w:firstLineChars="200"/>
        <w:textAlignment w:val="bottom"/>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1、合同未尽事宜、由甲、乙双方协商，作为合同补充，与原合同具有同等法律效力。协商不成，可向</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人民法院提起诉讼；或双方协议向</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 xml:space="preserve">提起仲裁  </w:t>
      </w:r>
    </w:p>
    <w:p w14:paraId="5C50483D">
      <w:pPr>
        <w:keepNext w:val="0"/>
        <w:keepLines w:val="0"/>
        <w:pageBreakBefore w:val="0"/>
        <w:widowControl/>
        <w:tabs>
          <w:tab w:val="left" w:pos="8391"/>
        </w:tabs>
        <w:kinsoku/>
        <w:wordWrap/>
        <w:overflowPunct/>
        <w:topLinePunct w:val="0"/>
        <w:autoSpaceDE w:val="0"/>
        <w:autoSpaceDN w:val="0"/>
        <w:bidi w:val="0"/>
        <w:snapToGrid w:val="0"/>
        <w:spacing w:line="360" w:lineRule="auto"/>
        <w:ind w:left="0" w:right="0" w:firstLine="420" w:firstLineChars="200"/>
        <w:textAlignment w:val="bottom"/>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 本合同正本一式</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份，甲方、乙方双方分别执</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份，</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备案</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份。</w:t>
      </w:r>
    </w:p>
    <w:p w14:paraId="0E9DECB2">
      <w:pPr>
        <w:keepNext w:val="0"/>
        <w:keepLines w:val="0"/>
        <w:pageBreakBefore w:val="0"/>
        <w:widowControl/>
        <w:tabs>
          <w:tab w:val="left" w:pos="8391"/>
        </w:tabs>
        <w:kinsoku/>
        <w:wordWrap/>
        <w:overflowPunct/>
        <w:topLinePunct w:val="0"/>
        <w:autoSpaceDE w:val="0"/>
        <w:autoSpaceDN w:val="0"/>
        <w:bidi w:val="0"/>
        <w:snapToGrid w:val="0"/>
        <w:spacing w:line="360" w:lineRule="auto"/>
        <w:ind w:left="0" w:right="0" w:firstLine="420" w:firstLineChars="200"/>
        <w:textAlignment w:val="bottom"/>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3、合同经甲乙双方盖章、签字后生效，合同签订地点为</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w:t>
      </w:r>
    </w:p>
    <w:p w14:paraId="70417E2E">
      <w:pPr>
        <w:keepNext w:val="0"/>
        <w:keepLines w:val="0"/>
        <w:pageBreakBefore w:val="0"/>
        <w:widowControl w:val="0"/>
        <w:kinsoku/>
        <w:wordWrap/>
        <w:overflowPunct/>
        <w:topLinePunct w:val="0"/>
        <w:bidi w:val="0"/>
        <w:spacing w:line="360" w:lineRule="auto"/>
        <w:ind w:left="0" w:right="0" w:firstLine="420" w:firstLineChars="200"/>
        <w:textAlignment w:val="auto"/>
        <w:rPr>
          <w:rFonts w:hint="eastAsia" w:ascii="宋体" w:hAnsi="宋体" w:eastAsia="宋体" w:cs="宋体"/>
          <w:b/>
          <w:sz w:val="21"/>
          <w:szCs w:val="21"/>
          <w:highlight w:val="none"/>
        </w:rPr>
      </w:pPr>
      <w:r>
        <w:rPr>
          <w:rFonts w:hint="eastAsia" w:ascii="宋体" w:hAnsi="宋体" w:eastAsia="宋体" w:cs="宋体"/>
          <w:color w:val="000000"/>
          <w:kern w:val="0"/>
          <w:szCs w:val="21"/>
          <w:highlight w:val="none"/>
        </w:rPr>
        <w:t>4、生效时间：   年  月  日</w:t>
      </w:r>
    </w:p>
    <w:p w14:paraId="35ADADEF">
      <w:pPr>
        <w:keepNext w:val="0"/>
        <w:keepLines w:val="0"/>
        <w:pageBreakBefore w:val="0"/>
        <w:widowControl w:val="0"/>
        <w:kinsoku/>
        <w:wordWrap/>
        <w:overflowPunct/>
        <w:topLinePunct w:val="0"/>
        <w:bidi w:val="0"/>
        <w:spacing w:line="360" w:lineRule="auto"/>
        <w:ind w:firstLine="567"/>
        <w:textAlignment w:val="auto"/>
        <w:rPr>
          <w:rFonts w:hint="eastAsia" w:ascii="宋体" w:hAnsi="宋体" w:eastAsia="宋体" w:cs="宋体"/>
          <w:sz w:val="21"/>
          <w:szCs w:val="21"/>
          <w:highlight w:val="none"/>
        </w:rPr>
      </w:pPr>
    </w:p>
    <w:p w14:paraId="4A083415">
      <w:pPr>
        <w:keepNext w:val="0"/>
        <w:keepLines w:val="0"/>
        <w:pageBreakBefore w:val="0"/>
        <w:widowControl w:val="0"/>
        <w:kinsoku/>
        <w:wordWrap/>
        <w:overflowPunct/>
        <w:topLinePunct w:val="0"/>
        <w:bidi w:val="0"/>
        <w:spacing w:line="360" w:lineRule="auto"/>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（以下无正文）</w:t>
      </w:r>
    </w:p>
    <w:p w14:paraId="17CC4CB1">
      <w:pPr>
        <w:keepNext w:val="0"/>
        <w:keepLines w:val="0"/>
        <w:pageBreakBefore w:val="0"/>
        <w:widowControl w:val="0"/>
        <w:kinsoku/>
        <w:wordWrap/>
        <w:overflowPunct/>
        <w:topLinePunct w:val="0"/>
        <w:bidi w:val="0"/>
        <w:spacing w:line="360" w:lineRule="auto"/>
        <w:ind w:firstLine="422" w:firstLineChars="200"/>
        <w:textAlignment w:val="auto"/>
        <w:rPr>
          <w:rFonts w:hint="eastAsia" w:ascii="宋体" w:hAnsi="宋体" w:eastAsia="宋体" w:cs="宋体"/>
          <w:b/>
          <w:sz w:val="21"/>
          <w:szCs w:val="21"/>
          <w:highlight w:val="none"/>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113"/>
        <w:gridCol w:w="2148"/>
        <w:gridCol w:w="2113"/>
      </w:tblGrid>
      <w:tr w14:paraId="0680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noWrap w:val="0"/>
            <w:vAlign w:val="top"/>
          </w:tcPr>
          <w:p w14:paraId="0E684114">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甲方（盖章）：</w:t>
            </w:r>
          </w:p>
        </w:tc>
        <w:tc>
          <w:tcPr>
            <w:tcW w:w="2265" w:type="dxa"/>
            <w:noWrap w:val="0"/>
            <w:vAlign w:val="top"/>
          </w:tcPr>
          <w:p w14:paraId="640DC19F">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c>
          <w:tcPr>
            <w:tcW w:w="2265" w:type="dxa"/>
            <w:noWrap w:val="0"/>
            <w:vAlign w:val="top"/>
          </w:tcPr>
          <w:p w14:paraId="03C05488">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乙方（盖章）：</w:t>
            </w:r>
          </w:p>
        </w:tc>
        <w:tc>
          <w:tcPr>
            <w:tcW w:w="2265" w:type="dxa"/>
            <w:noWrap w:val="0"/>
            <w:vAlign w:val="top"/>
          </w:tcPr>
          <w:p w14:paraId="4FB12B1E">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r>
      <w:tr w14:paraId="5435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noWrap w:val="0"/>
            <w:vAlign w:val="top"/>
          </w:tcPr>
          <w:p w14:paraId="5F95A9D4">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法定代表人（委托代理人）：</w:t>
            </w:r>
          </w:p>
        </w:tc>
        <w:tc>
          <w:tcPr>
            <w:tcW w:w="2265" w:type="dxa"/>
            <w:noWrap w:val="0"/>
            <w:vAlign w:val="top"/>
          </w:tcPr>
          <w:p w14:paraId="2648D080">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c>
          <w:tcPr>
            <w:tcW w:w="2265" w:type="dxa"/>
            <w:noWrap w:val="0"/>
            <w:vAlign w:val="top"/>
          </w:tcPr>
          <w:p w14:paraId="2D3E2738">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法定代表人（委托代理人）：</w:t>
            </w:r>
          </w:p>
        </w:tc>
        <w:tc>
          <w:tcPr>
            <w:tcW w:w="2265" w:type="dxa"/>
            <w:noWrap w:val="0"/>
            <w:vAlign w:val="top"/>
          </w:tcPr>
          <w:p w14:paraId="1DC7ABA0">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r>
      <w:tr w14:paraId="1BA5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noWrap w:val="0"/>
            <w:vAlign w:val="top"/>
          </w:tcPr>
          <w:p w14:paraId="09B9E79E">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p>
        </w:tc>
        <w:tc>
          <w:tcPr>
            <w:tcW w:w="2265" w:type="dxa"/>
            <w:noWrap w:val="0"/>
            <w:vAlign w:val="top"/>
          </w:tcPr>
          <w:p w14:paraId="3355CB4A">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c>
          <w:tcPr>
            <w:tcW w:w="2265" w:type="dxa"/>
            <w:noWrap w:val="0"/>
            <w:vAlign w:val="top"/>
          </w:tcPr>
          <w:p w14:paraId="4E407249">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p>
        </w:tc>
        <w:tc>
          <w:tcPr>
            <w:tcW w:w="2265" w:type="dxa"/>
            <w:noWrap w:val="0"/>
            <w:vAlign w:val="top"/>
          </w:tcPr>
          <w:p w14:paraId="1A935560">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r>
      <w:tr w14:paraId="0EF0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noWrap w:val="0"/>
            <w:vAlign w:val="top"/>
          </w:tcPr>
          <w:p w14:paraId="787DCE5F">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2265" w:type="dxa"/>
            <w:noWrap w:val="0"/>
            <w:vAlign w:val="top"/>
          </w:tcPr>
          <w:p w14:paraId="08A77AB0">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c>
          <w:tcPr>
            <w:tcW w:w="2265" w:type="dxa"/>
            <w:noWrap w:val="0"/>
            <w:vAlign w:val="top"/>
          </w:tcPr>
          <w:p w14:paraId="15E1F9D5">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2265" w:type="dxa"/>
            <w:noWrap w:val="0"/>
            <w:vAlign w:val="top"/>
          </w:tcPr>
          <w:p w14:paraId="58FBB03B">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r>
      <w:tr w14:paraId="2746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noWrap w:val="0"/>
            <w:vAlign w:val="top"/>
          </w:tcPr>
          <w:p w14:paraId="3F0E9814">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银行帐号：</w:t>
            </w:r>
          </w:p>
        </w:tc>
        <w:tc>
          <w:tcPr>
            <w:tcW w:w="2265" w:type="dxa"/>
            <w:noWrap w:val="0"/>
            <w:vAlign w:val="top"/>
          </w:tcPr>
          <w:p w14:paraId="3927F47D">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c>
          <w:tcPr>
            <w:tcW w:w="2265" w:type="dxa"/>
            <w:noWrap w:val="0"/>
            <w:vAlign w:val="top"/>
          </w:tcPr>
          <w:p w14:paraId="61CEF192">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银行帐号：</w:t>
            </w:r>
          </w:p>
        </w:tc>
        <w:tc>
          <w:tcPr>
            <w:tcW w:w="2265" w:type="dxa"/>
            <w:noWrap w:val="0"/>
            <w:vAlign w:val="top"/>
          </w:tcPr>
          <w:p w14:paraId="00DB9966">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r>
      <w:tr w14:paraId="434C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noWrap w:val="0"/>
            <w:vAlign w:val="top"/>
          </w:tcPr>
          <w:p w14:paraId="40CE8FB7">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　　话：</w:t>
            </w:r>
          </w:p>
        </w:tc>
        <w:tc>
          <w:tcPr>
            <w:tcW w:w="2265" w:type="dxa"/>
            <w:noWrap w:val="0"/>
            <w:vAlign w:val="top"/>
          </w:tcPr>
          <w:p w14:paraId="279142B6">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c>
          <w:tcPr>
            <w:tcW w:w="2265" w:type="dxa"/>
            <w:noWrap w:val="0"/>
            <w:vAlign w:val="top"/>
          </w:tcPr>
          <w:p w14:paraId="23E59D3D">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　　话：</w:t>
            </w:r>
          </w:p>
        </w:tc>
        <w:tc>
          <w:tcPr>
            <w:tcW w:w="2265" w:type="dxa"/>
            <w:noWrap w:val="0"/>
            <w:vAlign w:val="top"/>
          </w:tcPr>
          <w:p w14:paraId="4A017502">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r>
      <w:tr w14:paraId="3D874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noWrap w:val="0"/>
            <w:vAlign w:val="top"/>
          </w:tcPr>
          <w:p w14:paraId="58DEE5D2">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　　真：</w:t>
            </w:r>
          </w:p>
        </w:tc>
        <w:tc>
          <w:tcPr>
            <w:tcW w:w="2265" w:type="dxa"/>
            <w:noWrap w:val="0"/>
            <w:vAlign w:val="top"/>
          </w:tcPr>
          <w:p w14:paraId="50C54483">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c>
          <w:tcPr>
            <w:tcW w:w="2265" w:type="dxa"/>
            <w:noWrap w:val="0"/>
            <w:vAlign w:val="top"/>
          </w:tcPr>
          <w:p w14:paraId="72991FC2">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　　真：</w:t>
            </w:r>
          </w:p>
        </w:tc>
        <w:tc>
          <w:tcPr>
            <w:tcW w:w="2265" w:type="dxa"/>
            <w:noWrap w:val="0"/>
            <w:vAlign w:val="top"/>
          </w:tcPr>
          <w:p w14:paraId="1B2679DB">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p>
        </w:tc>
      </w:tr>
      <w:tr w14:paraId="7125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noWrap w:val="0"/>
            <w:vAlign w:val="top"/>
          </w:tcPr>
          <w:p w14:paraId="6CC00DFE">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签约日期：</w:t>
            </w:r>
          </w:p>
        </w:tc>
        <w:tc>
          <w:tcPr>
            <w:tcW w:w="2265" w:type="dxa"/>
            <w:noWrap w:val="0"/>
            <w:vAlign w:val="top"/>
          </w:tcPr>
          <w:p w14:paraId="21DA8BFD">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年　月　日</w:t>
            </w:r>
          </w:p>
        </w:tc>
        <w:tc>
          <w:tcPr>
            <w:tcW w:w="2265" w:type="dxa"/>
            <w:noWrap w:val="0"/>
            <w:vAlign w:val="top"/>
          </w:tcPr>
          <w:p w14:paraId="5C509DCF">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签约日期：</w:t>
            </w:r>
          </w:p>
        </w:tc>
        <w:tc>
          <w:tcPr>
            <w:tcW w:w="2265" w:type="dxa"/>
            <w:noWrap w:val="0"/>
            <w:vAlign w:val="top"/>
          </w:tcPr>
          <w:p w14:paraId="7997455C">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年　月　日</w:t>
            </w:r>
          </w:p>
        </w:tc>
      </w:tr>
    </w:tbl>
    <w:p w14:paraId="06D8E369">
      <w:pPr>
        <w:bidi w:val="0"/>
        <w:ind w:firstLine="432" w:firstLineChars="200"/>
        <w:jc w:val="both"/>
        <w:rPr>
          <w:rStyle w:val="30"/>
          <w:rFonts w:hint="eastAsia" w:ascii="宋体" w:hAnsi="宋体" w:eastAsia="宋体" w:cs="宋体"/>
          <w:color w:val="auto"/>
          <w:highlight w:val="none"/>
          <w:shd w:val="clear" w:color="auto" w:fill="auto"/>
        </w:rPr>
      </w:pPr>
      <w:r>
        <w:rPr>
          <w:rFonts w:hint="eastAsia" w:ascii="宋体" w:hAnsi="宋体" w:eastAsia="宋体" w:cs="宋体"/>
          <w:spacing w:val="-12"/>
          <w:sz w:val="24"/>
          <w:szCs w:val="24"/>
          <w:highlight w:val="none"/>
        </w:rPr>
        <w:t>：</w:t>
      </w:r>
      <w:r>
        <w:rPr>
          <w:rStyle w:val="30"/>
          <w:rFonts w:hint="eastAsia" w:ascii="宋体" w:hAnsi="宋体" w:eastAsia="宋体" w:cs="宋体"/>
          <w:color w:val="auto"/>
          <w:highlight w:val="none"/>
          <w:shd w:val="clear" w:color="auto" w:fill="auto"/>
        </w:rPr>
        <w:br w:type="page"/>
      </w:r>
    </w:p>
    <w:p w14:paraId="7AF5D6E6">
      <w:pPr>
        <w:pStyle w:val="3"/>
        <w:bidi w:val="0"/>
        <w:rPr>
          <w:rFonts w:hint="eastAsia" w:ascii="宋体" w:hAnsi="宋体" w:eastAsia="宋体" w:cs="宋体"/>
          <w:color w:val="auto"/>
          <w:highlight w:val="none"/>
          <w:shd w:val="clear" w:color="auto" w:fill="auto"/>
        </w:rPr>
      </w:pPr>
      <w:bookmarkStart w:id="172" w:name="_Toc10494"/>
      <w:r>
        <w:rPr>
          <w:rFonts w:hint="eastAsia" w:ascii="宋体" w:hAnsi="宋体" w:eastAsia="宋体" w:cs="宋体"/>
          <w:color w:val="auto"/>
          <w:highlight w:val="none"/>
          <w:shd w:val="clear" w:color="auto" w:fill="auto"/>
        </w:rPr>
        <w:t>第</w:t>
      </w:r>
      <w:r>
        <w:rPr>
          <w:rFonts w:hint="eastAsia" w:ascii="宋体" w:hAnsi="宋体" w:eastAsia="宋体" w:cs="宋体"/>
          <w:color w:val="auto"/>
          <w:highlight w:val="none"/>
          <w:shd w:val="clear" w:color="auto" w:fill="auto"/>
          <w:lang w:val="en-US" w:eastAsia="zh-CN"/>
        </w:rPr>
        <w:t>六</w:t>
      </w:r>
      <w:r>
        <w:rPr>
          <w:rFonts w:hint="eastAsia" w:ascii="宋体" w:hAnsi="宋体" w:eastAsia="宋体" w:cs="宋体"/>
          <w:color w:val="auto"/>
          <w:highlight w:val="none"/>
          <w:shd w:val="clear" w:color="auto" w:fill="auto"/>
          <w:lang w:eastAsia="zh-CN"/>
        </w:rPr>
        <w:t>章</w:t>
      </w:r>
      <w:r>
        <w:rPr>
          <w:rFonts w:hint="eastAsia" w:ascii="宋体" w:hAnsi="宋体" w:eastAsia="宋体" w:cs="宋体"/>
          <w:color w:val="auto"/>
          <w:highlight w:val="none"/>
          <w:shd w:val="clear" w:color="auto" w:fill="auto"/>
        </w:rPr>
        <w:t xml:space="preserve">  投标文件格式</w:t>
      </w:r>
      <w:bookmarkEnd w:id="167"/>
      <w:bookmarkEnd w:id="168"/>
      <w:bookmarkEnd w:id="169"/>
      <w:bookmarkEnd w:id="170"/>
      <w:bookmarkEnd w:id="171"/>
      <w:bookmarkEnd w:id="172"/>
    </w:p>
    <w:p w14:paraId="03512BEF">
      <w:pPr>
        <w:spacing w:line="360" w:lineRule="atLeast"/>
        <w:rPr>
          <w:rFonts w:hint="eastAsia" w:ascii="宋体" w:hAnsi="宋体" w:eastAsia="宋体" w:cs="宋体"/>
          <w:color w:val="auto"/>
          <w:sz w:val="32"/>
          <w:szCs w:val="32"/>
          <w:highlight w:val="none"/>
          <w:shd w:val="clear" w:color="auto" w:fill="auto"/>
        </w:rPr>
      </w:pPr>
      <w:r>
        <w:rPr>
          <w:rFonts w:hint="eastAsia" w:ascii="宋体" w:hAnsi="宋体" w:eastAsia="宋体" w:cs="宋体"/>
          <w:b/>
          <w:bCs/>
          <w:color w:val="auto"/>
          <w:sz w:val="32"/>
          <w:szCs w:val="32"/>
          <w:highlight w:val="none"/>
          <w:shd w:val="clear" w:color="auto" w:fill="auto"/>
        </w:rPr>
        <w:t>项目编号：</w:t>
      </w:r>
      <w:r>
        <w:rPr>
          <w:rFonts w:hint="eastAsia" w:ascii="宋体" w:hAnsi="宋体" w:eastAsia="宋体" w:cs="宋体"/>
          <w:color w:val="auto"/>
          <w:kern w:val="0"/>
          <w:sz w:val="30"/>
          <w:szCs w:val="30"/>
          <w:highlight w:val="none"/>
          <w:shd w:val="clear" w:color="auto" w:fill="auto"/>
        </w:rPr>
        <w:t xml:space="preserve">   </w:t>
      </w:r>
    </w:p>
    <w:p w14:paraId="5DDB1FD5">
      <w:pPr>
        <w:spacing w:line="360" w:lineRule="atLeast"/>
        <w:rPr>
          <w:rFonts w:hint="eastAsia" w:ascii="宋体" w:hAnsi="宋体" w:eastAsia="宋体" w:cs="宋体"/>
          <w:b/>
          <w:color w:val="auto"/>
          <w:sz w:val="28"/>
          <w:szCs w:val="28"/>
          <w:highlight w:val="none"/>
          <w:shd w:val="clear" w:color="auto" w:fill="auto"/>
        </w:rPr>
      </w:pPr>
      <w:r>
        <w:rPr>
          <w:rFonts w:hint="eastAsia" w:ascii="宋体" w:hAnsi="宋体" w:eastAsia="宋体" w:cs="宋体"/>
          <w:color w:val="auto"/>
          <w:szCs w:val="21"/>
          <w:highlight w:val="none"/>
          <w:shd w:val="clear" w:color="auto" w:fill="auto"/>
        </w:rPr>
        <w:t xml:space="preserve">                                                         </w:t>
      </w:r>
      <w:r>
        <w:rPr>
          <w:rFonts w:hint="eastAsia" w:ascii="宋体" w:hAnsi="宋体" w:eastAsia="宋体" w:cs="宋体"/>
          <w:b/>
          <w:color w:val="auto"/>
          <w:sz w:val="28"/>
          <w:szCs w:val="28"/>
          <w:highlight w:val="none"/>
          <w:shd w:val="clear" w:color="auto" w:fill="auto"/>
        </w:rPr>
        <w:t xml:space="preserve"> （正本或副本）</w:t>
      </w:r>
    </w:p>
    <w:p w14:paraId="2ABB259D">
      <w:pPr>
        <w:spacing w:line="360" w:lineRule="atLeast"/>
        <w:rPr>
          <w:rFonts w:hint="eastAsia" w:ascii="宋体" w:hAnsi="宋体" w:eastAsia="宋体" w:cs="宋体"/>
          <w:color w:val="auto"/>
          <w:szCs w:val="21"/>
          <w:highlight w:val="none"/>
          <w:shd w:val="clear" w:color="auto" w:fill="auto"/>
        </w:rPr>
      </w:pPr>
    </w:p>
    <w:p w14:paraId="3F303286">
      <w:pPr>
        <w:jc w:val="center"/>
        <w:rPr>
          <w:rFonts w:hint="eastAsia" w:ascii="宋体" w:hAnsi="宋体" w:eastAsia="宋体" w:cs="宋体"/>
          <w:color w:val="auto"/>
          <w:sz w:val="44"/>
          <w:highlight w:val="none"/>
          <w:shd w:val="clear" w:color="auto" w:fill="auto"/>
          <w14:shadow w14:blurRad="50800" w14:dist="38100" w14:dir="2700000" w14:sx="100000" w14:sy="100000" w14:kx="0" w14:ky="0" w14:algn="tl">
            <w14:srgbClr w14:val="000000">
              <w14:alpha w14:val="60000"/>
            </w14:srgbClr>
          </w14:shadow>
        </w:rPr>
      </w:pPr>
    </w:p>
    <w:p w14:paraId="58D463DF">
      <w:pPr>
        <w:jc w:val="center"/>
        <w:rPr>
          <w:rFonts w:hint="eastAsia" w:ascii="宋体" w:hAnsi="宋体" w:eastAsia="宋体" w:cs="宋体"/>
          <w:b/>
          <w:color w:val="auto"/>
          <w:sz w:val="52"/>
          <w:szCs w:val="52"/>
          <w:highlight w:val="none"/>
          <w:u w:val="none"/>
          <w:shd w:val="clear" w:color="auto" w:fill="auto"/>
          <w:lang w:val="en-US" w:eastAsia="zh-CN"/>
        </w:rPr>
      </w:pPr>
      <w:r>
        <w:rPr>
          <w:rFonts w:hint="eastAsia" w:ascii="宋体" w:hAnsi="宋体" w:eastAsia="宋体" w:cs="宋体"/>
          <w:b/>
          <w:color w:val="auto"/>
          <w:sz w:val="52"/>
          <w:szCs w:val="52"/>
          <w:highlight w:val="none"/>
          <w:u w:val="none"/>
          <w:shd w:val="clear" w:color="auto" w:fill="auto"/>
          <w:lang w:eastAsia="zh-CN"/>
        </w:rPr>
        <w:t>（</w:t>
      </w:r>
      <w:r>
        <w:rPr>
          <w:rFonts w:hint="eastAsia" w:ascii="宋体" w:hAnsi="宋体" w:eastAsia="宋体" w:cs="宋体"/>
          <w:b/>
          <w:color w:val="auto"/>
          <w:sz w:val="52"/>
          <w:szCs w:val="52"/>
          <w:highlight w:val="none"/>
          <w:u w:val="none"/>
          <w:shd w:val="clear" w:color="auto" w:fill="auto"/>
          <w:lang w:val="en-US" w:eastAsia="zh-CN"/>
        </w:rPr>
        <w:t>项目名称）</w:t>
      </w:r>
    </w:p>
    <w:p w14:paraId="216302B1">
      <w:pPr>
        <w:jc w:val="center"/>
        <w:rPr>
          <w:rFonts w:hint="eastAsia" w:ascii="宋体" w:hAnsi="宋体" w:eastAsia="宋体" w:cs="宋体"/>
          <w:color w:val="auto"/>
          <w:sz w:val="32"/>
          <w:szCs w:val="32"/>
          <w:highlight w:val="none"/>
          <w:shd w:val="clear" w:color="auto" w:fill="auto"/>
          <w:lang w:val="en-US" w:eastAsia="zh-CN"/>
        </w:rPr>
      </w:pPr>
    </w:p>
    <w:p w14:paraId="0E1BC02A">
      <w:pPr>
        <w:spacing w:line="360" w:lineRule="atLeast"/>
        <w:jc w:val="center"/>
        <w:rPr>
          <w:rFonts w:hint="eastAsia" w:ascii="宋体" w:hAnsi="宋体" w:eastAsia="宋体" w:cs="宋体"/>
          <w:b/>
          <w:color w:val="auto"/>
          <w:sz w:val="72"/>
          <w:szCs w:val="72"/>
          <w:highlight w:val="none"/>
          <w:shd w:val="clear" w:color="auto" w:fill="auto"/>
        </w:rPr>
      </w:pPr>
      <w:r>
        <w:rPr>
          <w:rFonts w:hint="eastAsia" w:ascii="宋体" w:hAnsi="宋体" w:eastAsia="宋体" w:cs="宋体"/>
          <w:b/>
          <w:color w:val="auto"/>
          <w:sz w:val="72"/>
          <w:szCs w:val="72"/>
          <w:highlight w:val="none"/>
          <w:shd w:val="clear" w:color="auto" w:fill="auto"/>
        </w:rPr>
        <w:t>投标文件</w:t>
      </w:r>
    </w:p>
    <w:p w14:paraId="1DC10734">
      <w:pPr>
        <w:spacing w:line="360" w:lineRule="atLeast"/>
        <w:rPr>
          <w:rFonts w:hint="eastAsia" w:ascii="宋体" w:hAnsi="宋体" w:eastAsia="宋体" w:cs="宋体"/>
          <w:color w:val="auto"/>
          <w:sz w:val="24"/>
          <w:highlight w:val="none"/>
          <w:shd w:val="clear" w:color="auto" w:fill="auto"/>
        </w:rPr>
      </w:pPr>
    </w:p>
    <w:p w14:paraId="001A2CE8">
      <w:pPr>
        <w:spacing w:line="360" w:lineRule="atLeast"/>
        <w:rPr>
          <w:rFonts w:hint="eastAsia" w:ascii="宋体" w:hAnsi="宋体" w:eastAsia="宋体" w:cs="宋体"/>
          <w:color w:val="auto"/>
          <w:sz w:val="24"/>
          <w:highlight w:val="none"/>
          <w:shd w:val="clear" w:color="auto" w:fill="auto"/>
        </w:rPr>
      </w:pPr>
    </w:p>
    <w:p w14:paraId="69A587AC">
      <w:pPr>
        <w:spacing w:line="360" w:lineRule="atLeast"/>
        <w:rPr>
          <w:rFonts w:hint="eastAsia" w:ascii="宋体" w:hAnsi="宋体" w:eastAsia="宋体" w:cs="宋体"/>
          <w:color w:val="auto"/>
          <w:sz w:val="24"/>
          <w:highlight w:val="none"/>
          <w:shd w:val="clear" w:color="auto" w:fill="auto"/>
        </w:rPr>
      </w:pPr>
    </w:p>
    <w:p w14:paraId="369D538D">
      <w:pPr>
        <w:pStyle w:val="6"/>
        <w:rPr>
          <w:rFonts w:hint="eastAsia" w:ascii="宋体" w:hAnsi="宋体" w:eastAsia="宋体" w:cs="宋体"/>
          <w:color w:val="auto"/>
          <w:sz w:val="24"/>
          <w:highlight w:val="none"/>
          <w:shd w:val="clear" w:color="auto" w:fill="auto"/>
        </w:rPr>
      </w:pPr>
    </w:p>
    <w:p w14:paraId="0F8DFB13">
      <w:pPr>
        <w:pStyle w:val="6"/>
        <w:rPr>
          <w:rFonts w:hint="eastAsia" w:ascii="宋体" w:hAnsi="宋体" w:eastAsia="宋体" w:cs="宋体"/>
          <w:color w:val="auto"/>
          <w:sz w:val="24"/>
          <w:highlight w:val="none"/>
          <w:shd w:val="clear" w:color="auto" w:fill="auto"/>
        </w:rPr>
      </w:pPr>
    </w:p>
    <w:p w14:paraId="3C1FB663">
      <w:pPr>
        <w:pStyle w:val="6"/>
        <w:rPr>
          <w:rFonts w:hint="eastAsia" w:ascii="宋体" w:hAnsi="宋体" w:eastAsia="宋体" w:cs="宋体"/>
          <w:color w:val="auto"/>
          <w:sz w:val="24"/>
          <w:highlight w:val="none"/>
          <w:shd w:val="clear" w:color="auto" w:fill="auto"/>
        </w:rPr>
      </w:pPr>
    </w:p>
    <w:p w14:paraId="2269FCA9">
      <w:pPr>
        <w:spacing w:line="360" w:lineRule="auto"/>
        <w:ind w:firstLine="1265" w:firstLineChars="450"/>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lang w:eastAsia="zh-CN"/>
        </w:rPr>
        <w:t>供</w:t>
      </w:r>
      <w:r>
        <w:rPr>
          <w:rFonts w:hint="eastAsia" w:ascii="宋体" w:hAnsi="宋体" w:eastAsia="宋体" w:cs="宋体"/>
          <w:b/>
          <w:color w:val="auto"/>
          <w:sz w:val="28"/>
          <w:szCs w:val="28"/>
          <w:highlight w:val="none"/>
          <w:shd w:val="clear" w:color="auto" w:fill="auto"/>
        </w:rPr>
        <w:t xml:space="preserve">   </w:t>
      </w:r>
      <w:r>
        <w:rPr>
          <w:rFonts w:hint="eastAsia" w:ascii="宋体" w:hAnsi="宋体" w:eastAsia="宋体" w:cs="宋体"/>
          <w:b/>
          <w:color w:val="auto"/>
          <w:sz w:val="28"/>
          <w:szCs w:val="28"/>
          <w:highlight w:val="none"/>
          <w:shd w:val="clear" w:color="auto" w:fill="auto"/>
          <w:lang w:eastAsia="zh-CN"/>
        </w:rPr>
        <w:t>应</w:t>
      </w:r>
      <w:r>
        <w:rPr>
          <w:rFonts w:hint="eastAsia" w:ascii="宋体" w:hAnsi="宋体" w:eastAsia="宋体" w:cs="宋体"/>
          <w:b/>
          <w:color w:val="auto"/>
          <w:sz w:val="28"/>
          <w:szCs w:val="28"/>
          <w:highlight w:val="none"/>
          <w:shd w:val="clear" w:color="auto" w:fill="auto"/>
        </w:rPr>
        <w:t xml:space="preserve">  </w:t>
      </w:r>
      <w:r>
        <w:rPr>
          <w:rFonts w:hint="eastAsia" w:ascii="宋体" w:hAnsi="宋体" w:eastAsia="宋体" w:cs="宋体"/>
          <w:b/>
          <w:color w:val="auto"/>
          <w:sz w:val="28"/>
          <w:szCs w:val="28"/>
          <w:highlight w:val="none"/>
          <w:shd w:val="clear" w:color="auto" w:fill="auto"/>
          <w:lang w:eastAsia="zh-CN"/>
        </w:rPr>
        <w:t>商</w:t>
      </w:r>
      <w:r>
        <w:rPr>
          <w:rFonts w:hint="eastAsia" w:ascii="宋体" w:hAnsi="宋体" w:eastAsia="宋体" w:cs="宋体"/>
          <w:b/>
          <w:color w:val="auto"/>
          <w:sz w:val="28"/>
          <w:szCs w:val="28"/>
          <w:highlight w:val="none"/>
          <w:shd w:val="clear" w:color="auto" w:fill="auto"/>
        </w:rPr>
        <w:t>：</w:t>
      </w:r>
      <w:r>
        <w:rPr>
          <w:rFonts w:hint="eastAsia" w:ascii="宋体" w:hAnsi="宋体" w:eastAsia="宋体" w:cs="宋体"/>
          <w:b/>
          <w:color w:val="auto"/>
          <w:sz w:val="28"/>
          <w:szCs w:val="28"/>
          <w:highlight w:val="none"/>
          <w:u w:val="single"/>
          <w:shd w:val="clear" w:color="auto" w:fill="auto"/>
        </w:rPr>
        <w:t xml:space="preserve">                         </w:t>
      </w:r>
      <w:r>
        <w:rPr>
          <w:rFonts w:hint="eastAsia" w:ascii="宋体" w:hAnsi="宋体" w:eastAsia="宋体" w:cs="宋体"/>
          <w:b/>
          <w:color w:val="auto"/>
          <w:sz w:val="28"/>
          <w:szCs w:val="28"/>
          <w:highlight w:val="none"/>
          <w:shd w:val="clear" w:color="auto" w:fill="auto"/>
        </w:rPr>
        <w:t>（盖单位章）</w:t>
      </w:r>
    </w:p>
    <w:p w14:paraId="0B90C947">
      <w:pPr>
        <w:spacing w:line="360" w:lineRule="auto"/>
        <w:ind w:firstLine="1245" w:firstLineChars="443"/>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法定代表人或</w:t>
      </w:r>
    </w:p>
    <w:p w14:paraId="01863760">
      <w:pPr>
        <w:spacing w:line="360" w:lineRule="auto"/>
        <w:ind w:firstLine="1245" w:firstLineChars="443"/>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其委托代理人：</w:t>
      </w:r>
      <w:r>
        <w:rPr>
          <w:rFonts w:hint="eastAsia" w:ascii="宋体" w:hAnsi="宋体" w:eastAsia="宋体" w:cs="宋体"/>
          <w:b/>
          <w:color w:val="auto"/>
          <w:sz w:val="28"/>
          <w:szCs w:val="28"/>
          <w:highlight w:val="none"/>
          <w:u w:val="single"/>
          <w:shd w:val="clear" w:color="auto" w:fill="auto"/>
        </w:rPr>
        <w:t xml:space="preserve">                       </w:t>
      </w:r>
      <w:r>
        <w:rPr>
          <w:rFonts w:hint="eastAsia" w:ascii="宋体" w:hAnsi="宋体" w:eastAsia="宋体" w:cs="宋体"/>
          <w:b/>
          <w:color w:val="auto"/>
          <w:sz w:val="28"/>
          <w:szCs w:val="28"/>
          <w:highlight w:val="none"/>
          <w:shd w:val="clear" w:color="auto" w:fill="auto"/>
        </w:rPr>
        <w:t>（签字或盖章）</w:t>
      </w:r>
    </w:p>
    <w:p w14:paraId="68BB361E">
      <w:pPr>
        <w:spacing w:before="312" w:beforeLines="100" w:after="312" w:afterLines="100"/>
        <w:ind w:firstLine="1245" w:firstLineChars="443"/>
        <w:rPr>
          <w:rFonts w:hint="eastAsia" w:ascii="宋体" w:hAnsi="宋体" w:eastAsia="宋体" w:cs="宋体"/>
          <w:b/>
          <w:color w:val="auto"/>
          <w:sz w:val="28"/>
          <w:szCs w:val="28"/>
          <w:highlight w:val="none"/>
          <w:shd w:val="clear" w:color="auto" w:fill="auto"/>
        </w:rPr>
      </w:pPr>
      <w:r>
        <w:rPr>
          <w:rFonts w:hint="eastAsia" w:ascii="宋体" w:hAnsi="宋体" w:eastAsia="宋体" w:cs="宋体"/>
          <w:b/>
          <w:color w:val="auto"/>
          <w:sz w:val="28"/>
          <w:szCs w:val="28"/>
          <w:highlight w:val="none"/>
          <w:shd w:val="clear" w:color="auto" w:fill="auto"/>
        </w:rPr>
        <w:t xml:space="preserve">日        期： </w:t>
      </w:r>
      <w:r>
        <w:rPr>
          <w:rFonts w:hint="eastAsia" w:ascii="宋体" w:hAnsi="宋体" w:eastAsia="宋体" w:cs="宋体"/>
          <w:b/>
          <w:color w:val="auto"/>
          <w:sz w:val="28"/>
          <w:szCs w:val="28"/>
          <w:highlight w:val="none"/>
          <w:u w:val="single"/>
          <w:shd w:val="clear" w:color="auto" w:fill="auto"/>
        </w:rPr>
        <w:t xml:space="preserve">      </w:t>
      </w:r>
      <w:r>
        <w:rPr>
          <w:rFonts w:hint="eastAsia" w:ascii="宋体" w:hAnsi="宋体" w:eastAsia="宋体" w:cs="宋体"/>
          <w:b/>
          <w:color w:val="auto"/>
          <w:sz w:val="28"/>
          <w:szCs w:val="28"/>
          <w:highlight w:val="none"/>
          <w:shd w:val="clear" w:color="auto" w:fill="auto"/>
        </w:rPr>
        <w:t>年</w:t>
      </w:r>
      <w:r>
        <w:rPr>
          <w:rFonts w:hint="eastAsia" w:ascii="宋体" w:hAnsi="宋体" w:eastAsia="宋体" w:cs="宋体"/>
          <w:b/>
          <w:color w:val="auto"/>
          <w:sz w:val="28"/>
          <w:szCs w:val="28"/>
          <w:highlight w:val="none"/>
          <w:u w:val="single"/>
          <w:shd w:val="clear" w:color="auto" w:fill="auto"/>
        </w:rPr>
        <w:t xml:space="preserve">    </w:t>
      </w:r>
      <w:r>
        <w:rPr>
          <w:rFonts w:hint="eastAsia" w:ascii="宋体" w:hAnsi="宋体" w:eastAsia="宋体" w:cs="宋体"/>
          <w:b/>
          <w:color w:val="auto"/>
          <w:sz w:val="28"/>
          <w:szCs w:val="28"/>
          <w:highlight w:val="none"/>
          <w:shd w:val="clear" w:color="auto" w:fill="auto"/>
        </w:rPr>
        <w:t>月</w:t>
      </w:r>
      <w:r>
        <w:rPr>
          <w:rFonts w:hint="eastAsia" w:ascii="宋体" w:hAnsi="宋体" w:eastAsia="宋体" w:cs="宋体"/>
          <w:b/>
          <w:color w:val="auto"/>
          <w:sz w:val="28"/>
          <w:szCs w:val="28"/>
          <w:highlight w:val="none"/>
          <w:u w:val="single"/>
          <w:shd w:val="clear" w:color="auto" w:fill="auto"/>
        </w:rPr>
        <w:t xml:space="preserve">      </w:t>
      </w:r>
      <w:r>
        <w:rPr>
          <w:rFonts w:hint="eastAsia" w:ascii="宋体" w:hAnsi="宋体" w:eastAsia="宋体" w:cs="宋体"/>
          <w:b/>
          <w:color w:val="auto"/>
          <w:sz w:val="28"/>
          <w:szCs w:val="28"/>
          <w:highlight w:val="none"/>
          <w:shd w:val="clear" w:color="auto" w:fill="auto"/>
        </w:rPr>
        <w:t>日</w:t>
      </w:r>
    </w:p>
    <w:p w14:paraId="0F70F38D">
      <w:pPr>
        <w:pStyle w:val="10"/>
        <w:rPr>
          <w:rFonts w:hint="eastAsia" w:ascii="宋体" w:hAnsi="宋体" w:eastAsia="宋体" w:cs="宋体"/>
          <w:b/>
          <w:color w:val="auto"/>
          <w:sz w:val="32"/>
          <w:szCs w:val="32"/>
          <w:highlight w:val="none"/>
          <w:shd w:val="clear" w:color="auto" w:fill="auto"/>
        </w:rPr>
      </w:pPr>
    </w:p>
    <w:p w14:paraId="109B07D4">
      <w:pPr>
        <w:pStyle w:val="7"/>
        <w:rPr>
          <w:rFonts w:hint="eastAsia" w:ascii="宋体" w:hAnsi="宋体" w:eastAsia="宋体" w:cs="宋体"/>
          <w:highlight w:val="none"/>
        </w:rPr>
      </w:pPr>
      <w:r>
        <w:rPr>
          <w:rFonts w:hint="eastAsia" w:ascii="宋体" w:hAnsi="宋体" w:eastAsia="宋体" w:cs="宋体"/>
          <w:highlight w:val="none"/>
        </w:rPr>
        <w:br w:type="page"/>
      </w:r>
    </w:p>
    <w:p w14:paraId="3E3E8DC1">
      <w:pPr>
        <w:spacing w:line="400" w:lineRule="exact"/>
        <w:jc w:val="center"/>
        <w:rPr>
          <w:rFonts w:hint="eastAsia" w:ascii="宋体" w:hAnsi="宋体" w:eastAsia="宋体" w:cs="宋体"/>
          <w:b/>
          <w:color w:val="auto"/>
          <w:sz w:val="32"/>
          <w:szCs w:val="32"/>
          <w:highlight w:val="none"/>
          <w:shd w:val="clear" w:color="auto" w:fill="auto"/>
        </w:rPr>
      </w:pPr>
      <w:r>
        <w:rPr>
          <w:rFonts w:hint="eastAsia" w:ascii="宋体" w:hAnsi="宋体" w:eastAsia="宋体" w:cs="宋体"/>
          <w:b/>
          <w:color w:val="auto"/>
          <w:sz w:val="32"/>
          <w:szCs w:val="32"/>
          <w:highlight w:val="none"/>
          <w:shd w:val="clear" w:color="auto" w:fill="auto"/>
        </w:rPr>
        <w:t>目    录</w:t>
      </w:r>
    </w:p>
    <w:p w14:paraId="061B4E20">
      <w:pPr>
        <w:spacing w:line="400" w:lineRule="exact"/>
        <w:rPr>
          <w:rFonts w:hint="eastAsia" w:ascii="宋体" w:hAnsi="宋体" w:eastAsia="宋体" w:cs="宋体"/>
          <w:color w:val="auto"/>
          <w:highlight w:val="none"/>
          <w:shd w:val="clear" w:color="auto" w:fill="auto"/>
        </w:rPr>
      </w:pPr>
    </w:p>
    <w:p w14:paraId="2FF48308">
      <w:pPr>
        <w:pStyle w:val="9"/>
        <w:spacing w:line="400" w:lineRule="exact"/>
        <w:rPr>
          <w:rFonts w:hint="eastAsia" w:ascii="宋体" w:hAnsi="宋体" w:eastAsia="宋体" w:cs="宋体"/>
          <w:b/>
          <w:bCs/>
          <w:color w:val="auto"/>
          <w:sz w:val="30"/>
          <w:szCs w:val="30"/>
          <w:highlight w:val="none"/>
          <w:shd w:val="clear" w:color="auto" w:fill="auto"/>
        </w:rPr>
      </w:pPr>
      <w:r>
        <w:rPr>
          <w:rFonts w:hint="eastAsia" w:ascii="宋体" w:hAnsi="宋体" w:eastAsia="宋体" w:cs="宋体"/>
          <w:b/>
          <w:bCs/>
          <w:color w:val="auto"/>
          <w:sz w:val="30"/>
          <w:szCs w:val="30"/>
          <w:highlight w:val="none"/>
          <w:shd w:val="clear" w:color="auto" w:fill="auto"/>
        </w:rPr>
        <w:t>第一部分   投标函</w:t>
      </w:r>
    </w:p>
    <w:p w14:paraId="29CAA12F">
      <w:pPr>
        <w:pStyle w:val="9"/>
        <w:spacing w:line="400" w:lineRule="exact"/>
        <w:rPr>
          <w:rFonts w:hint="eastAsia" w:ascii="宋体" w:hAnsi="宋体" w:eastAsia="宋体" w:cs="宋体"/>
          <w:b/>
          <w:bCs/>
          <w:color w:val="auto"/>
          <w:sz w:val="30"/>
          <w:szCs w:val="30"/>
          <w:highlight w:val="none"/>
          <w:shd w:val="clear" w:color="auto" w:fill="auto"/>
        </w:rPr>
      </w:pPr>
    </w:p>
    <w:p w14:paraId="09C9F4AC">
      <w:pPr>
        <w:spacing w:line="400" w:lineRule="exact"/>
        <w:rPr>
          <w:rFonts w:hint="eastAsia" w:ascii="宋体" w:hAnsi="宋体" w:eastAsia="宋体" w:cs="宋体"/>
          <w:b/>
          <w:color w:val="auto"/>
          <w:sz w:val="30"/>
          <w:szCs w:val="30"/>
          <w:highlight w:val="none"/>
          <w:shd w:val="clear" w:color="auto" w:fill="auto"/>
        </w:rPr>
      </w:pPr>
      <w:r>
        <w:rPr>
          <w:rFonts w:hint="eastAsia" w:ascii="宋体" w:hAnsi="宋体" w:eastAsia="宋体" w:cs="宋体"/>
          <w:b/>
          <w:color w:val="auto"/>
          <w:sz w:val="30"/>
          <w:szCs w:val="30"/>
          <w:highlight w:val="none"/>
          <w:shd w:val="clear" w:color="auto" w:fill="auto"/>
        </w:rPr>
        <w:t>第二部分   开标一览表</w:t>
      </w:r>
    </w:p>
    <w:p w14:paraId="3999AF1C">
      <w:pPr>
        <w:pStyle w:val="9"/>
        <w:spacing w:line="400" w:lineRule="exact"/>
        <w:rPr>
          <w:rFonts w:hint="eastAsia" w:ascii="宋体" w:hAnsi="宋体" w:eastAsia="宋体" w:cs="宋体"/>
          <w:b/>
          <w:bCs/>
          <w:color w:val="auto"/>
          <w:sz w:val="30"/>
          <w:szCs w:val="30"/>
          <w:highlight w:val="none"/>
          <w:shd w:val="clear" w:color="auto" w:fill="auto"/>
        </w:rPr>
      </w:pPr>
    </w:p>
    <w:p w14:paraId="33870352">
      <w:pPr>
        <w:pStyle w:val="9"/>
        <w:spacing w:line="400" w:lineRule="exact"/>
        <w:rPr>
          <w:rFonts w:hint="eastAsia" w:ascii="宋体" w:hAnsi="宋体" w:eastAsia="宋体" w:cs="宋体"/>
          <w:b/>
          <w:bCs/>
          <w:color w:val="auto"/>
          <w:sz w:val="30"/>
          <w:szCs w:val="30"/>
          <w:highlight w:val="none"/>
          <w:shd w:val="clear" w:color="auto" w:fill="auto"/>
        </w:rPr>
      </w:pPr>
      <w:r>
        <w:rPr>
          <w:rFonts w:hint="eastAsia" w:ascii="宋体" w:hAnsi="宋体" w:eastAsia="宋体" w:cs="宋体"/>
          <w:b/>
          <w:bCs/>
          <w:color w:val="auto"/>
          <w:sz w:val="30"/>
          <w:szCs w:val="30"/>
          <w:highlight w:val="none"/>
          <w:shd w:val="clear" w:color="auto" w:fill="auto"/>
        </w:rPr>
        <w:t xml:space="preserve">第三部分   </w:t>
      </w:r>
      <w:r>
        <w:rPr>
          <w:rFonts w:hint="eastAsia" w:ascii="宋体" w:hAnsi="宋体" w:eastAsia="宋体" w:cs="宋体"/>
          <w:b/>
          <w:bCs/>
          <w:color w:val="auto"/>
          <w:sz w:val="30"/>
          <w:szCs w:val="30"/>
          <w:highlight w:val="none"/>
          <w:shd w:val="clear" w:color="auto" w:fill="auto"/>
          <w:lang w:eastAsia="zh-CN"/>
        </w:rPr>
        <w:t>供应商</w:t>
      </w:r>
      <w:r>
        <w:rPr>
          <w:rFonts w:hint="eastAsia" w:ascii="宋体" w:hAnsi="宋体" w:eastAsia="宋体" w:cs="宋体"/>
          <w:b/>
          <w:bCs/>
          <w:color w:val="auto"/>
          <w:sz w:val="30"/>
          <w:szCs w:val="30"/>
          <w:highlight w:val="none"/>
          <w:shd w:val="clear" w:color="auto" w:fill="auto"/>
        </w:rPr>
        <w:t>资格证明文件</w:t>
      </w:r>
    </w:p>
    <w:p w14:paraId="7FEAEE59">
      <w:pPr>
        <w:pStyle w:val="9"/>
        <w:tabs>
          <w:tab w:val="left" w:pos="1810"/>
        </w:tabs>
        <w:spacing w:line="400" w:lineRule="exact"/>
        <w:rPr>
          <w:rFonts w:hint="eastAsia" w:ascii="宋体" w:hAnsi="宋体" w:eastAsia="宋体" w:cs="宋体"/>
          <w:b/>
          <w:color w:val="auto"/>
          <w:sz w:val="30"/>
          <w:szCs w:val="30"/>
          <w:highlight w:val="none"/>
          <w:shd w:val="clear" w:color="auto" w:fill="auto"/>
        </w:rPr>
      </w:pPr>
    </w:p>
    <w:p w14:paraId="01C697B8">
      <w:pPr>
        <w:pStyle w:val="9"/>
        <w:numPr>
          <w:ilvl w:val="0"/>
          <w:numId w:val="0"/>
        </w:numPr>
        <w:tabs>
          <w:tab w:val="left" w:pos="1810"/>
        </w:tabs>
        <w:spacing w:line="400" w:lineRule="exact"/>
        <w:rPr>
          <w:rFonts w:hint="eastAsia" w:ascii="宋体" w:hAnsi="宋体" w:eastAsia="宋体" w:cs="宋体"/>
          <w:b/>
          <w:color w:val="auto"/>
          <w:sz w:val="30"/>
          <w:szCs w:val="30"/>
          <w:highlight w:val="none"/>
          <w:shd w:val="clear" w:color="auto" w:fill="auto"/>
        </w:rPr>
      </w:pPr>
      <w:r>
        <w:rPr>
          <w:rFonts w:hint="eastAsia" w:ascii="宋体" w:hAnsi="宋体" w:eastAsia="宋体" w:cs="宋体"/>
          <w:b/>
          <w:color w:val="auto"/>
          <w:kern w:val="2"/>
          <w:sz w:val="30"/>
          <w:szCs w:val="30"/>
          <w:highlight w:val="none"/>
          <w:shd w:val="clear" w:color="auto" w:fill="auto"/>
          <w:lang w:val="en-US" w:eastAsia="zh-CN" w:bidi="ar-SA"/>
        </w:rPr>
        <w:t>第四部分</w:t>
      </w:r>
      <w:r>
        <w:rPr>
          <w:rFonts w:hint="eastAsia" w:ascii="宋体" w:hAnsi="宋体" w:eastAsia="宋体" w:cs="宋体"/>
          <w:b/>
          <w:color w:val="auto"/>
          <w:sz w:val="30"/>
          <w:szCs w:val="30"/>
          <w:highlight w:val="none"/>
          <w:shd w:val="clear" w:color="auto" w:fill="auto"/>
        </w:rPr>
        <w:t xml:space="preserve">  </w:t>
      </w:r>
      <w:r>
        <w:rPr>
          <w:rFonts w:hint="eastAsia" w:ascii="宋体" w:hAnsi="宋体" w:eastAsia="宋体" w:cs="宋体"/>
          <w:b/>
          <w:color w:val="auto"/>
          <w:sz w:val="30"/>
          <w:szCs w:val="30"/>
          <w:highlight w:val="none"/>
          <w:shd w:val="clear" w:color="auto" w:fill="auto"/>
          <w:lang w:val="en-US" w:eastAsia="zh-CN"/>
        </w:rPr>
        <w:t xml:space="preserve"> 供应商概况</w:t>
      </w:r>
    </w:p>
    <w:p w14:paraId="303F1AC3">
      <w:pPr>
        <w:spacing w:line="400" w:lineRule="exact"/>
        <w:ind w:firstLine="2409" w:firstLineChars="800"/>
        <w:rPr>
          <w:rFonts w:hint="eastAsia" w:ascii="宋体" w:hAnsi="宋体" w:eastAsia="宋体" w:cs="宋体"/>
          <w:b/>
          <w:color w:val="auto"/>
          <w:sz w:val="30"/>
          <w:szCs w:val="30"/>
          <w:highlight w:val="none"/>
          <w:shd w:val="clear" w:color="auto" w:fill="auto"/>
        </w:rPr>
      </w:pPr>
    </w:p>
    <w:p w14:paraId="1BAD38BA">
      <w:pPr>
        <w:pStyle w:val="9"/>
        <w:numPr>
          <w:ilvl w:val="0"/>
          <w:numId w:val="0"/>
        </w:numPr>
        <w:spacing w:line="400" w:lineRule="exact"/>
        <w:rPr>
          <w:rFonts w:hint="eastAsia" w:ascii="宋体" w:hAnsi="宋体" w:eastAsia="宋体" w:cs="宋体"/>
          <w:b/>
          <w:bCs/>
          <w:color w:val="auto"/>
          <w:sz w:val="30"/>
          <w:szCs w:val="30"/>
          <w:highlight w:val="none"/>
          <w:shd w:val="clear" w:color="auto" w:fill="auto"/>
        </w:rPr>
      </w:pPr>
      <w:r>
        <w:rPr>
          <w:rFonts w:hint="eastAsia" w:ascii="宋体" w:hAnsi="宋体" w:eastAsia="宋体" w:cs="宋体"/>
          <w:b/>
          <w:bCs/>
          <w:color w:val="auto"/>
          <w:kern w:val="2"/>
          <w:sz w:val="30"/>
          <w:szCs w:val="30"/>
          <w:highlight w:val="none"/>
          <w:shd w:val="clear" w:color="auto" w:fill="auto"/>
          <w:lang w:val="en-US" w:eastAsia="zh-CN" w:bidi="ar-SA"/>
        </w:rPr>
        <w:t>第五部分</w:t>
      </w:r>
      <w:r>
        <w:rPr>
          <w:rFonts w:hint="eastAsia" w:ascii="宋体" w:hAnsi="宋体" w:eastAsia="宋体" w:cs="宋体"/>
          <w:b/>
          <w:bCs/>
          <w:color w:val="auto"/>
          <w:sz w:val="30"/>
          <w:szCs w:val="30"/>
          <w:highlight w:val="none"/>
          <w:shd w:val="clear" w:color="auto" w:fill="auto"/>
        </w:rPr>
        <w:t xml:space="preserve"> </w:t>
      </w:r>
      <w:r>
        <w:rPr>
          <w:rFonts w:hint="eastAsia" w:ascii="宋体" w:hAnsi="宋体" w:eastAsia="宋体" w:cs="宋体"/>
          <w:b/>
          <w:bCs/>
          <w:color w:val="auto"/>
          <w:sz w:val="30"/>
          <w:szCs w:val="30"/>
          <w:highlight w:val="none"/>
          <w:shd w:val="clear" w:color="auto" w:fill="auto"/>
          <w:lang w:val="en-US" w:eastAsia="zh-CN"/>
        </w:rPr>
        <w:t xml:space="preserve">  </w:t>
      </w:r>
      <w:r>
        <w:rPr>
          <w:rFonts w:hint="eastAsia" w:ascii="宋体" w:hAnsi="宋体" w:eastAsia="宋体" w:cs="宋体"/>
          <w:b/>
          <w:color w:val="auto"/>
          <w:sz w:val="30"/>
          <w:szCs w:val="30"/>
          <w:highlight w:val="none"/>
          <w:shd w:val="clear" w:color="auto" w:fill="auto"/>
        </w:rPr>
        <w:t>投标方案说明</w:t>
      </w:r>
    </w:p>
    <w:p w14:paraId="5432C558">
      <w:pPr>
        <w:pStyle w:val="9"/>
        <w:numPr>
          <w:ilvl w:val="0"/>
          <w:numId w:val="0"/>
        </w:numPr>
        <w:spacing w:line="400" w:lineRule="exact"/>
        <w:rPr>
          <w:rFonts w:hint="eastAsia" w:ascii="宋体" w:hAnsi="宋体" w:eastAsia="宋体" w:cs="宋体"/>
          <w:b/>
          <w:bCs/>
          <w:color w:val="auto"/>
          <w:sz w:val="30"/>
          <w:szCs w:val="30"/>
          <w:highlight w:val="none"/>
          <w:shd w:val="clear" w:color="auto" w:fill="auto"/>
        </w:rPr>
      </w:pPr>
    </w:p>
    <w:p w14:paraId="48F52AAD">
      <w:pPr>
        <w:pStyle w:val="9"/>
        <w:spacing w:line="400" w:lineRule="exact"/>
        <w:rPr>
          <w:rFonts w:hint="eastAsia" w:ascii="宋体" w:hAnsi="宋体" w:eastAsia="宋体" w:cs="宋体"/>
          <w:b/>
          <w:bCs/>
          <w:color w:val="auto"/>
          <w:sz w:val="30"/>
          <w:szCs w:val="30"/>
          <w:highlight w:val="none"/>
          <w:shd w:val="clear" w:color="auto" w:fill="auto"/>
          <w:lang w:val="en-US" w:eastAsia="zh-CN"/>
        </w:rPr>
      </w:pPr>
      <w:r>
        <w:rPr>
          <w:rFonts w:hint="eastAsia" w:ascii="宋体" w:hAnsi="宋体" w:eastAsia="宋体" w:cs="宋体"/>
          <w:b/>
          <w:bCs/>
          <w:color w:val="auto"/>
          <w:sz w:val="30"/>
          <w:szCs w:val="30"/>
          <w:highlight w:val="none"/>
          <w:shd w:val="clear" w:color="auto" w:fill="auto"/>
          <w:lang w:val="en-US" w:eastAsia="zh-CN"/>
        </w:rPr>
        <w:t>第六部分   供应商承诺书</w:t>
      </w:r>
    </w:p>
    <w:p w14:paraId="06177F07">
      <w:pPr>
        <w:pStyle w:val="6"/>
        <w:rPr>
          <w:rFonts w:hint="eastAsia" w:ascii="宋体" w:hAnsi="宋体" w:eastAsia="宋体" w:cs="宋体"/>
          <w:highlight w:val="none"/>
        </w:rPr>
      </w:pPr>
    </w:p>
    <w:p w14:paraId="6458A73A">
      <w:pPr>
        <w:spacing w:line="400" w:lineRule="exact"/>
        <w:ind w:firstLine="2259" w:firstLineChars="750"/>
        <w:rPr>
          <w:rFonts w:hint="eastAsia" w:ascii="宋体" w:hAnsi="宋体" w:eastAsia="宋体" w:cs="宋体"/>
          <w:b/>
          <w:bCs/>
          <w:color w:val="auto"/>
          <w:sz w:val="30"/>
          <w:szCs w:val="30"/>
          <w:highlight w:val="none"/>
          <w:shd w:val="clear" w:color="auto" w:fill="auto"/>
        </w:rPr>
      </w:pPr>
    </w:p>
    <w:p w14:paraId="0DE4D52A">
      <w:pPr>
        <w:spacing w:line="400" w:lineRule="exact"/>
        <w:ind w:right="456" w:firstLine="2259" w:firstLineChars="750"/>
        <w:rPr>
          <w:rFonts w:hint="eastAsia" w:ascii="宋体" w:hAnsi="宋体" w:eastAsia="宋体" w:cs="宋体"/>
          <w:b/>
          <w:bCs/>
          <w:color w:val="auto"/>
          <w:sz w:val="30"/>
          <w:szCs w:val="30"/>
          <w:highlight w:val="none"/>
          <w:shd w:val="clear" w:color="auto" w:fill="auto"/>
        </w:rPr>
      </w:pPr>
    </w:p>
    <w:p w14:paraId="5D5F8BFC">
      <w:pPr>
        <w:spacing w:line="400" w:lineRule="exact"/>
        <w:jc w:val="center"/>
        <w:rPr>
          <w:rFonts w:hint="eastAsia" w:ascii="宋体" w:hAnsi="宋体" w:eastAsia="宋体" w:cs="宋体"/>
          <w:b/>
          <w:color w:val="auto"/>
          <w:sz w:val="32"/>
          <w:szCs w:val="32"/>
          <w:highlight w:val="none"/>
          <w:shd w:val="clear" w:color="auto" w:fill="auto"/>
        </w:rPr>
      </w:pPr>
      <w:r>
        <w:rPr>
          <w:rFonts w:hint="eastAsia" w:ascii="宋体" w:hAnsi="宋体" w:eastAsia="宋体" w:cs="宋体"/>
          <w:b/>
          <w:color w:val="auto"/>
          <w:sz w:val="32"/>
          <w:szCs w:val="32"/>
          <w:highlight w:val="none"/>
          <w:shd w:val="clear" w:color="auto" w:fill="auto"/>
        </w:rPr>
        <w:br w:type="page"/>
      </w:r>
      <w:r>
        <w:rPr>
          <w:rFonts w:hint="eastAsia" w:ascii="宋体" w:hAnsi="宋体" w:eastAsia="宋体" w:cs="宋体"/>
          <w:b/>
          <w:color w:val="auto"/>
          <w:sz w:val="32"/>
          <w:szCs w:val="32"/>
          <w:highlight w:val="none"/>
          <w:shd w:val="clear" w:color="auto" w:fill="auto"/>
        </w:rPr>
        <w:t>第一部分   投标函</w:t>
      </w:r>
    </w:p>
    <w:p w14:paraId="5E1E079B">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b w:val="0"/>
          <w:bCs/>
          <w:color w:val="auto"/>
          <w:sz w:val="24"/>
          <w:szCs w:val="24"/>
          <w:highlight w:val="none"/>
          <w:shd w:val="clear" w:color="auto" w:fill="auto"/>
          <w:lang w:eastAsia="zh-CN"/>
        </w:rPr>
        <w:t>（</w:t>
      </w:r>
      <w:r>
        <w:rPr>
          <w:rFonts w:hint="eastAsia" w:ascii="宋体" w:hAnsi="宋体" w:eastAsia="宋体" w:cs="宋体"/>
          <w:b w:val="0"/>
          <w:bCs/>
          <w:color w:val="auto"/>
          <w:sz w:val="24"/>
          <w:szCs w:val="24"/>
          <w:highlight w:val="none"/>
          <w:shd w:val="clear" w:color="auto" w:fill="auto"/>
          <w:lang w:val="en-US" w:eastAsia="zh-CN"/>
        </w:rPr>
        <w:t>采购人）</w:t>
      </w:r>
      <w:r>
        <w:rPr>
          <w:rFonts w:hint="eastAsia" w:ascii="宋体" w:hAnsi="宋体" w:eastAsia="宋体" w:cs="宋体"/>
          <w:color w:val="auto"/>
          <w:sz w:val="24"/>
          <w:highlight w:val="none"/>
          <w:shd w:val="clear" w:color="auto" w:fill="auto"/>
        </w:rPr>
        <w:t>：</w:t>
      </w:r>
    </w:p>
    <w:p w14:paraId="193146BE">
      <w:pPr>
        <w:kinsoku w:val="0"/>
        <w:spacing w:line="500" w:lineRule="exact"/>
        <w:ind w:firstLine="480" w:firstLineChars="200"/>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我单位收到贵公司</w:t>
      </w:r>
      <w:r>
        <w:rPr>
          <w:rFonts w:hint="eastAsia" w:ascii="宋体" w:hAnsi="宋体" w:eastAsia="宋体" w:cs="宋体"/>
          <w:color w:val="auto"/>
          <w:sz w:val="24"/>
          <w:highlight w:val="none"/>
          <w:u w:val="single"/>
          <w:shd w:val="clear" w:color="auto" w:fill="auto"/>
          <w:lang w:val="en-US" w:eastAsia="zh-CN"/>
        </w:rPr>
        <w:t xml:space="preserve"> （项目名称、项目编号）</w:t>
      </w:r>
      <w:r>
        <w:rPr>
          <w:rFonts w:hint="eastAsia" w:ascii="宋体" w:hAnsi="宋体" w:eastAsia="宋体" w:cs="宋体"/>
          <w:color w:val="auto"/>
          <w:sz w:val="24"/>
          <w:highlight w:val="none"/>
          <w:shd w:val="clear" w:color="auto" w:fill="auto"/>
        </w:rPr>
        <w:t>招标文件，经详细研究，决定参加本次投标活动为此，我方郑重声明以下几点，并愿负法律责任。</w:t>
      </w:r>
    </w:p>
    <w:p w14:paraId="00630988">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1、按照招标文件中的一切要求，提供完全满足采购需求的服务、成果文件和全面技术、售后服务保障。</w:t>
      </w:r>
    </w:p>
    <w:p w14:paraId="10DB1A2C">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2、如若中标，将根据招标文件的要求、投标文件及承诺条件，全面签约并履行合同规定的责任和义务。</w:t>
      </w:r>
    </w:p>
    <w:p w14:paraId="38134570">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3、我方提交的投标文件：正本</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份，副本</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份及电子版投标文件</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份，报价一览表</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份。</w:t>
      </w:r>
    </w:p>
    <w:p w14:paraId="58E022B4">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4、我方已详细阅读和核实全部招标文件内容，完全理解并同意放弃提出含糊不清和误解问题的权力。</w:t>
      </w:r>
    </w:p>
    <w:p w14:paraId="42D0D613">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5、同意提供贵方要求的与本次招标有关的任何证明资料。</w:t>
      </w:r>
    </w:p>
    <w:p w14:paraId="5CCEB3C0">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6、中标后按照本招标文件规定向贵方缴纳招标代理费。</w:t>
      </w:r>
    </w:p>
    <w:p w14:paraId="0F97AF3E">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7、我方的投标文件在开标大会之日起计算有效期为</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日历日。</w:t>
      </w:r>
    </w:p>
    <w:p w14:paraId="7F37D685">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8、所有关于本次投标的函电，请按下列地址、方式联系：</w:t>
      </w:r>
    </w:p>
    <w:p w14:paraId="26F2A186">
      <w:pPr>
        <w:kinsoku w:val="0"/>
        <w:spacing w:line="500" w:lineRule="exact"/>
        <w:ind w:firstLine="840"/>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地    址：</w:t>
      </w:r>
      <w:r>
        <w:rPr>
          <w:rFonts w:hint="eastAsia" w:ascii="宋体" w:hAnsi="宋体" w:eastAsia="宋体" w:cs="宋体"/>
          <w:color w:val="auto"/>
          <w:sz w:val="24"/>
          <w:highlight w:val="none"/>
          <w:u w:val="single"/>
          <w:shd w:val="clear" w:color="auto" w:fill="auto"/>
        </w:rPr>
        <w:t xml:space="preserve">                                                     </w:t>
      </w:r>
    </w:p>
    <w:p w14:paraId="227F6EF5">
      <w:pPr>
        <w:kinsoku w:val="0"/>
        <w:spacing w:line="500" w:lineRule="exact"/>
        <w:ind w:firstLine="840"/>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电    话：</w:t>
      </w:r>
      <w:r>
        <w:rPr>
          <w:rFonts w:hint="eastAsia" w:ascii="宋体" w:hAnsi="宋体" w:eastAsia="宋体" w:cs="宋体"/>
          <w:color w:val="auto"/>
          <w:sz w:val="24"/>
          <w:highlight w:val="none"/>
          <w:u w:val="single"/>
          <w:shd w:val="clear" w:color="auto" w:fill="auto"/>
        </w:rPr>
        <w:t xml:space="preserve">                                                     </w:t>
      </w:r>
    </w:p>
    <w:p w14:paraId="73A6170B">
      <w:pPr>
        <w:kinsoku w:val="0"/>
        <w:spacing w:line="500" w:lineRule="exact"/>
        <w:ind w:firstLine="840"/>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传    真：</w:t>
      </w:r>
      <w:r>
        <w:rPr>
          <w:rFonts w:hint="eastAsia" w:ascii="宋体" w:hAnsi="宋体" w:eastAsia="宋体" w:cs="宋体"/>
          <w:color w:val="auto"/>
          <w:sz w:val="24"/>
          <w:highlight w:val="none"/>
          <w:u w:val="single"/>
          <w:shd w:val="clear" w:color="auto" w:fill="auto"/>
        </w:rPr>
        <w:t xml:space="preserve">                                                     </w:t>
      </w:r>
    </w:p>
    <w:p w14:paraId="7CED89E3">
      <w:pPr>
        <w:kinsoku w:val="0"/>
        <w:spacing w:line="500" w:lineRule="exact"/>
        <w:ind w:firstLine="840"/>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邮    编：</w:t>
      </w:r>
      <w:r>
        <w:rPr>
          <w:rFonts w:hint="eastAsia" w:ascii="宋体" w:hAnsi="宋体" w:eastAsia="宋体" w:cs="宋体"/>
          <w:color w:val="auto"/>
          <w:sz w:val="24"/>
          <w:highlight w:val="none"/>
          <w:u w:val="single"/>
          <w:shd w:val="clear" w:color="auto" w:fill="auto"/>
        </w:rPr>
        <w:t xml:space="preserve">                                                     </w:t>
      </w:r>
    </w:p>
    <w:p w14:paraId="5E4BD319">
      <w:pPr>
        <w:kinsoku w:val="0"/>
        <w:spacing w:line="500" w:lineRule="exact"/>
        <w:ind w:firstLine="570"/>
        <w:rPr>
          <w:rFonts w:hint="eastAsia" w:ascii="宋体" w:hAnsi="宋体" w:eastAsia="宋体" w:cs="宋体"/>
          <w:color w:val="auto"/>
          <w:sz w:val="24"/>
          <w:highlight w:val="none"/>
          <w:shd w:val="clear" w:color="auto" w:fill="auto"/>
        </w:rPr>
      </w:pPr>
    </w:p>
    <w:p w14:paraId="3FBFA0C2">
      <w:pPr>
        <w:kinsoku w:val="0"/>
        <w:spacing w:line="500" w:lineRule="exact"/>
        <w:ind w:firstLine="808" w:firstLineChars="337"/>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lang w:eastAsia="zh-CN"/>
        </w:rPr>
        <w:t>供应商</w:t>
      </w:r>
      <w:r>
        <w:rPr>
          <w:rFonts w:hint="eastAsia" w:ascii="宋体" w:hAnsi="宋体" w:eastAsia="宋体" w:cs="宋体"/>
          <w:color w:val="auto"/>
          <w:sz w:val="24"/>
          <w:highlight w:val="none"/>
          <w:shd w:val="clear" w:color="auto" w:fill="auto"/>
        </w:rPr>
        <w:t>全称：</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（公章）</w:t>
      </w:r>
    </w:p>
    <w:p w14:paraId="189BE3F0">
      <w:pPr>
        <w:kinsoku w:val="0"/>
        <w:spacing w:line="500" w:lineRule="exact"/>
        <w:rPr>
          <w:rFonts w:hint="eastAsia" w:ascii="宋体" w:hAnsi="宋体" w:eastAsia="宋体" w:cs="宋体"/>
          <w:color w:val="auto"/>
          <w:sz w:val="24"/>
          <w:highlight w:val="none"/>
          <w:shd w:val="clear" w:color="auto" w:fill="auto"/>
        </w:rPr>
      </w:pPr>
    </w:p>
    <w:p w14:paraId="329EA733">
      <w:pPr>
        <w:kinsoku w:val="0"/>
        <w:spacing w:line="500" w:lineRule="exact"/>
        <w:ind w:firstLine="808" w:firstLineChars="337"/>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法定代表人或被授权人（签字或盖章）：</w:t>
      </w:r>
      <w:r>
        <w:rPr>
          <w:rFonts w:hint="eastAsia" w:ascii="宋体" w:hAnsi="宋体" w:eastAsia="宋体" w:cs="宋体"/>
          <w:color w:val="auto"/>
          <w:sz w:val="24"/>
          <w:highlight w:val="none"/>
          <w:u w:val="single"/>
          <w:shd w:val="clear" w:color="auto" w:fill="auto"/>
        </w:rPr>
        <w:t xml:space="preserve">                        </w:t>
      </w:r>
    </w:p>
    <w:p w14:paraId="6035AD91">
      <w:pPr>
        <w:kinsoku w:val="0"/>
        <w:spacing w:line="500" w:lineRule="exact"/>
        <w:ind w:firstLine="570"/>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 xml:space="preserve">                                                年</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 xml:space="preserve"> 月</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 xml:space="preserve"> 日</w:t>
      </w:r>
    </w:p>
    <w:p w14:paraId="79379808">
      <w:pPr>
        <w:numPr>
          <w:ilvl w:val="0"/>
          <w:numId w:val="5"/>
        </w:numPr>
        <w:spacing w:line="360" w:lineRule="atLeast"/>
        <w:jc w:val="center"/>
        <w:rPr>
          <w:rFonts w:hint="eastAsia" w:ascii="宋体" w:hAnsi="宋体" w:eastAsia="宋体" w:cs="宋体"/>
          <w:b/>
          <w:color w:val="auto"/>
          <w:sz w:val="32"/>
          <w:szCs w:val="32"/>
          <w:highlight w:val="none"/>
          <w:shd w:val="clear" w:color="auto" w:fill="auto"/>
        </w:rPr>
      </w:pPr>
      <w:r>
        <w:rPr>
          <w:rFonts w:hint="eastAsia" w:ascii="宋体" w:hAnsi="宋体" w:eastAsia="宋体" w:cs="宋体"/>
          <w:color w:val="auto"/>
          <w:sz w:val="24"/>
          <w:highlight w:val="none"/>
          <w:shd w:val="clear" w:color="auto" w:fill="auto"/>
        </w:rPr>
        <w:br w:type="page"/>
      </w:r>
      <w:r>
        <w:rPr>
          <w:rFonts w:hint="eastAsia" w:ascii="宋体" w:hAnsi="宋体" w:eastAsia="宋体" w:cs="宋体"/>
          <w:b/>
          <w:color w:val="auto"/>
          <w:sz w:val="32"/>
          <w:szCs w:val="32"/>
          <w:highlight w:val="none"/>
          <w:shd w:val="clear" w:color="auto" w:fill="auto"/>
        </w:rPr>
        <w:t>开标一览表</w:t>
      </w:r>
    </w:p>
    <w:p w14:paraId="136A6717">
      <w:pPr>
        <w:numPr>
          <w:ilvl w:val="0"/>
          <w:numId w:val="0"/>
        </w:numPr>
        <w:spacing w:line="360" w:lineRule="atLeast"/>
        <w:jc w:val="center"/>
        <w:rPr>
          <w:rFonts w:hint="eastAsia" w:ascii="宋体" w:hAnsi="宋体" w:eastAsia="宋体" w:cs="宋体"/>
          <w:b/>
          <w:color w:val="auto"/>
          <w:sz w:val="32"/>
          <w:szCs w:val="32"/>
          <w:highlight w:val="none"/>
          <w:shd w:val="clear" w:color="auto" w:fill="auto"/>
        </w:rPr>
      </w:pPr>
      <w:r>
        <w:rPr>
          <w:rFonts w:hint="eastAsia" w:ascii="宋体" w:hAnsi="宋体" w:eastAsia="宋体" w:cs="宋体"/>
          <w:b/>
          <w:color w:val="auto"/>
          <w:sz w:val="32"/>
          <w:szCs w:val="32"/>
          <w:highlight w:val="none"/>
          <w:shd w:val="clear" w:color="auto" w:fill="auto"/>
          <w:lang w:val="en-US" w:eastAsia="zh-CN"/>
        </w:rPr>
        <w:t>（1）投标报价一览表</w:t>
      </w:r>
    </w:p>
    <w:p w14:paraId="4A0C83A8">
      <w:pPr>
        <w:kinsoku w:val="0"/>
        <w:spacing w:line="500" w:lineRule="exact"/>
        <w:ind w:firstLine="7320" w:firstLineChars="3050"/>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单位：元</w:t>
      </w:r>
    </w:p>
    <w:tbl>
      <w:tblPr>
        <w:tblStyle w:val="15"/>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7"/>
        <w:gridCol w:w="2460"/>
        <w:gridCol w:w="2175"/>
        <w:gridCol w:w="1252"/>
        <w:gridCol w:w="874"/>
      </w:tblGrid>
      <w:tr w14:paraId="4947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1" w:hRule="atLeast"/>
          <w:jc w:val="center"/>
        </w:trPr>
        <w:tc>
          <w:tcPr>
            <w:tcW w:w="2797" w:type="dxa"/>
            <w:tcBorders>
              <w:tl2br w:val="single" w:color="auto" w:sz="4" w:space="0"/>
            </w:tcBorders>
            <w:noWrap w:val="0"/>
            <w:vAlign w:val="top"/>
          </w:tcPr>
          <w:p w14:paraId="002F97BE">
            <w:pPr>
              <w:kinsoku w:val="0"/>
              <w:spacing w:line="500" w:lineRule="exact"/>
              <w:ind w:firstLine="720" w:firstLineChars="3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报价内容</w:t>
            </w:r>
          </w:p>
          <w:p w14:paraId="355B42F9">
            <w:pPr>
              <w:kinsoku w:val="0"/>
              <w:spacing w:line="500" w:lineRule="exact"/>
              <w:rPr>
                <w:rFonts w:hint="eastAsia" w:ascii="宋体" w:hAnsi="宋体" w:eastAsia="宋体" w:cs="宋体"/>
                <w:color w:val="auto"/>
                <w:sz w:val="24"/>
                <w:szCs w:val="24"/>
                <w:highlight w:val="none"/>
                <w:shd w:val="clear" w:color="auto" w:fill="auto"/>
              </w:rPr>
            </w:pPr>
          </w:p>
          <w:p w14:paraId="22528F8C">
            <w:pPr>
              <w:kinsoku w:val="0"/>
              <w:spacing w:line="500" w:lineRule="exac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项目名称</w:t>
            </w:r>
          </w:p>
        </w:tc>
        <w:tc>
          <w:tcPr>
            <w:tcW w:w="2460" w:type="dxa"/>
            <w:noWrap w:val="0"/>
            <w:vAlign w:val="center"/>
          </w:tcPr>
          <w:p w14:paraId="6C100115">
            <w:pPr>
              <w:kinsoku w:val="0"/>
              <w:spacing w:line="500" w:lineRule="exact"/>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投标报价</w:t>
            </w:r>
          </w:p>
        </w:tc>
        <w:tc>
          <w:tcPr>
            <w:tcW w:w="2175" w:type="dxa"/>
            <w:noWrap w:val="0"/>
            <w:vAlign w:val="center"/>
          </w:tcPr>
          <w:p w14:paraId="02E29999">
            <w:pPr>
              <w:kinsoku w:val="0"/>
              <w:spacing w:line="500" w:lineRule="exact"/>
              <w:jc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供货</w:t>
            </w:r>
            <w:r>
              <w:rPr>
                <w:rFonts w:hint="eastAsia" w:ascii="宋体" w:hAnsi="宋体" w:eastAsia="宋体" w:cs="宋体"/>
                <w:color w:val="auto"/>
                <w:sz w:val="24"/>
                <w:szCs w:val="24"/>
                <w:highlight w:val="none"/>
                <w:shd w:val="clear" w:color="auto" w:fill="auto"/>
              </w:rPr>
              <w:t>期</w:t>
            </w:r>
            <w:r>
              <w:rPr>
                <w:rFonts w:hint="eastAsia" w:ascii="宋体" w:hAnsi="宋体" w:eastAsia="宋体" w:cs="宋体"/>
                <w:color w:val="auto"/>
                <w:sz w:val="24"/>
                <w:szCs w:val="24"/>
                <w:highlight w:val="none"/>
                <w:shd w:val="clear" w:color="auto" w:fill="auto"/>
                <w:lang w:val="en-US" w:eastAsia="zh-CN"/>
              </w:rPr>
              <w:t>限</w:t>
            </w:r>
          </w:p>
          <w:p w14:paraId="6BE0C6B4">
            <w:pPr>
              <w:kinsoku w:val="0"/>
              <w:spacing w:line="500" w:lineRule="exact"/>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（日历天）</w:t>
            </w:r>
          </w:p>
        </w:tc>
        <w:tc>
          <w:tcPr>
            <w:tcW w:w="1252" w:type="dxa"/>
            <w:noWrap w:val="0"/>
            <w:vAlign w:val="center"/>
          </w:tcPr>
          <w:p w14:paraId="3F1EED80">
            <w:pPr>
              <w:kinsoku w:val="0"/>
              <w:spacing w:line="500" w:lineRule="exact"/>
              <w:jc w:val="cente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rPr>
              <w:t>质量</w:t>
            </w:r>
            <w:r>
              <w:rPr>
                <w:rFonts w:hint="eastAsia" w:ascii="宋体" w:hAnsi="宋体" w:eastAsia="宋体" w:cs="宋体"/>
                <w:color w:val="auto"/>
                <w:sz w:val="24"/>
                <w:szCs w:val="24"/>
                <w:highlight w:val="none"/>
                <w:shd w:val="clear" w:color="auto" w:fill="auto"/>
                <w:lang w:eastAsia="zh-CN"/>
              </w:rPr>
              <w:t>标准</w:t>
            </w:r>
          </w:p>
        </w:tc>
        <w:tc>
          <w:tcPr>
            <w:tcW w:w="874" w:type="dxa"/>
            <w:noWrap w:val="0"/>
            <w:vAlign w:val="center"/>
          </w:tcPr>
          <w:p w14:paraId="7E39EBF5">
            <w:pPr>
              <w:kinsoku w:val="0"/>
              <w:spacing w:line="500" w:lineRule="exact"/>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备注</w:t>
            </w:r>
          </w:p>
        </w:tc>
      </w:tr>
      <w:tr w14:paraId="7888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3" w:hRule="atLeast"/>
          <w:jc w:val="center"/>
        </w:trPr>
        <w:tc>
          <w:tcPr>
            <w:tcW w:w="2797" w:type="dxa"/>
            <w:noWrap w:val="0"/>
            <w:vAlign w:val="center"/>
          </w:tcPr>
          <w:p w14:paraId="749D7B96">
            <w:pPr>
              <w:kinsoku w:val="0"/>
              <w:spacing w:line="500" w:lineRule="exact"/>
              <w:jc w:val="center"/>
              <w:rPr>
                <w:rFonts w:hint="eastAsia" w:ascii="宋体" w:hAnsi="宋体" w:eastAsia="宋体" w:cs="宋体"/>
                <w:color w:val="auto"/>
                <w:sz w:val="24"/>
                <w:szCs w:val="24"/>
                <w:highlight w:val="none"/>
                <w:shd w:val="clear" w:color="auto" w:fill="auto"/>
                <w:lang w:eastAsia="zh-CN"/>
              </w:rPr>
            </w:pPr>
            <w:r>
              <w:rPr>
                <w:rFonts w:hint="eastAsia" w:ascii="宋体" w:hAnsi="宋体" w:eastAsia="宋体" w:cs="宋体"/>
                <w:color w:val="auto"/>
                <w:sz w:val="24"/>
                <w:szCs w:val="24"/>
                <w:highlight w:val="none"/>
                <w:shd w:val="clear" w:color="auto" w:fill="auto"/>
                <w:lang w:val="en-US" w:eastAsia="zh-CN"/>
              </w:rPr>
              <w:t>（项目名称）</w:t>
            </w:r>
          </w:p>
        </w:tc>
        <w:tc>
          <w:tcPr>
            <w:tcW w:w="2460" w:type="dxa"/>
            <w:noWrap w:val="0"/>
            <w:vAlign w:val="center"/>
          </w:tcPr>
          <w:p w14:paraId="7401404A">
            <w:pPr>
              <w:kinsoku w:val="0"/>
              <w:spacing w:line="500" w:lineRule="exac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人民币大写：</w:t>
            </w:r>
          </w:p>
          <w:p w14:paraId="2FB7EF49">
            <w:pPr>
              <w:kinsoku w:val="0"/>
              <w:spacing w:line="500" w:lineRule="exac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小写：</w:t>
            </w:r>
          </w:p>
        </w:tc>
        <w:tc>
          <w:tcPr>
            <w:tcW w:w="2175" w:type="dxa"/>
            <w:noWrap w:val="0"/>
            <w:vAlign w:val="center"/>
          </w:tcPr>
          <w:p w14:paraId="23117BA2">
            <w:pPr>
              <w:kinsoku w:val="0"/>
              <w:spacing w:line="500" w:lineRule="exact"/>
              <w:jc w:val="center"/>
              <w:rPr>
                <w:rFonts w:hint="eastAsia" w:ascii="宋体" w:hAnsi="宋体" w:eastAsia="宋体" w:cs="宋体"/>
                <w:color w:val="auto"/>
                <w:sz w:val="24"/>
                <w:szCs w:val="24"/>
                <w:highlight w:val="none"/>
                <w:shd w:val="clear" w:color="auto" w:fill="auto"/>
              </w:rPr>
            </w:pPr>
          </w:p>
        </w:tc>
        <w:tc>
          <w:tcPr>
            <w:tcW w:w="1252" w:type="dxa"/>
            <w:noWrap w:val="0"/>
            <w:vAlign w:val="center"/>
          </w:tcPr>
          <w:p w14:paraId="36F839E8">
            <w:pPr>
              <w:kinsoku w:val="0"/>
              <w:spacing w:line="500" w:lineRule="exact"/>
              <w:jc w:val="center"/>
              <w:rPr>
                <w:rFonts w:hint="eastAsia" w:ascii="宋体" w:hAnsi="宋体" w:eastAsia="宋体" w:cs="宋体"/>
                <w:color w:val="auto"/>
                <w:sz w:val="24"/>
                <w:szCs w:val="24"/>
                <w:highlight w:val="none"/>
                <w:shd w:val="clear" w:color="auto" w:fill="auto"/>
              </w:rPr>
            </w:pPr>
          </w:p>
        </w:tc>
        <w:tc>
          <w:tcPr>
            <w:tcW w:w="874" w:type="dxa"/>
            <w:noWrap w:val="0"/>
            <w:vAlign w:val="center"/>
          </w:tcPr>
          <w:p w14:paraId="015D2E35">
            <w:pPr>
              <w:kinsoku w:val="0"/>
              <w:spacing w:line="500" w:lineRule="exact"/>
              <w:jc w:val="center"/>
              <w:rPr>
                <w:rFonts w:hint="eastAsia" w:ascii="宋体" w:hAnsi="宋体" w:eastAsia="宋体" w:cs="宋体"/>
                <w:color w:val="auto"/>
                <w:sz w:val="24"/>
                <w:szCs w:val="24"/>
                <w:highlight w:val="none"/>
                <w:shd w:val="clear" w:color="auto" w:fill="auto"/>
              </w:rPr>
            </w:pPr>
          </w:p>
        </w:tc>
      </w:tr>
      <w:tr w14:paraId="28F9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9558" w:type="dxa"/>
            <w:gridSpan w:val="5"/>
            <w:noWrap w:val="0"/>
            <w:vAlign w:val="center"/>
          </w:tcPr>
          <w:p w14:paraId="42E1AB09">
            <w:pPr>
              <w:kinsoku w:val="0"/>
              <w:spacing w:line="500" w:lineRule="exac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备注：表内报价内容以元为单位，最多保留小数点后两位。</w:t>
            </w:r>
          </w:p>
        </w:tc>
      </w:tr>
    </w:tbl>
    <w:p w14:paraId="3B3C7AAF">
      <w:pPr>
        <w:kinsoku w:val="0"/>
        <w:spacing w:line="500" w:lineRule="exact"/>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lang w:val="en-US" w:eastAsia="zh-CN"/>
        </w:rPr>
        <w:t>说明：1、</w:t>
      </w:r>
      <w:r>
        <w:rPr>
          <w:rFonts w:hint="eastAsia" w:ascii="宋体" w:hAnsi="宋体" w:eastAsia="宋体" w:cs="宋体"/>
          <w:b/>
          <w:bCs/>
          <w:color w:val="auto"/>
          <w:sz w:val="24"/>
          <w:szCs w:val="24"/>
          <w:highlight w:val="none"/>
          <w:shd w:val="clear" w:color="auto" w:fill="auto"/>
          <w:lang w:eastAsia="zh-CN"/>
        </w:rPr>
        <w:t>开标一览表</w:t>
      </w:r>
      <w:r>
        <w:rPr>
          <w:rFonts w:hint="eastAsia" w:ascii="宋体" w:hAnsi="宋体" w:eastAsia="宋体" w:cs="宋体"/>
          <w:b/>
          <w:bCs/>
          <w:color w:val="auto"/>
          <w:sz w:val="24"/>
          <w:szCs w:val="24"/>
          <w:highlight w:val="none"/>
          <w:shd w:val="clear" w:color="auto" w:fill="auto"/>
        </w:rPr>
        <w:t>除在</w:t>
      </w:r>
      <w:r>
        <w:rPr>
          <w:rFonts w:hint="eastAsia" w:ascii="宋体" w:hAnsi="宋体" w:eastAsia="宋体" w:cs="宋体"/>
          <w:b/>
          <w:bCs/>
          <w:color w:val="auto"/>
          <w:sz w:val="24"/>
          <w:szCs w:val="24"/>
          <w:highlight w:val="none"/>
          <w:shd w:val="clear" w:color="auto" w:fill="auto"/>
          <w:lang w:eastAsia="zh-CN"/>
        </w:rPr>
        <w:t>投标</w:t>
      </w:r>
      <w:r>
        <w:rPr>
          <w:rFonts w:hint="eastAsia" w:ascii="宋体" w:hAnsi="宋体" w:eastAsia="宋体" w:cs="宋体"/>
          <w:b/>
          <w:bCs/>
          <w:color w:val="auto"/>
          <w:sz w:val="24"/>
          <w:szCs w:val="24"/>
          <w:highlight w:val="none"/>
          <w:shd w:val="clear" w:color="auto" w:fill="auto"/>
        </w:rPr>
        <w:t>文件正、副本装订外，另制作一份单独封装在一个信封中，封线处加盖谈判供应商公章，封袋正面要粘贴标识。</w:t>
      </w:r>
    </w:p>
    <w:p w14:paraId="53407FB8">
      <w:pPr>
        <w:kinsoku w:val="0"/>
        <w:spacing w:line="500" w:lineRule="exact"/>
        <w:ind w:firstLine="723" w:firstLineChars="300"/>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2、投标报价以元为单位，大小写不一致时，以大写为准。</w:t>
      </w:r>
    </w:p>
    <w:p w14:paraId="7176D49E">
      <w:pPr>
        <w:pStyle w:val="13"/>
        <w:rPr>
          <w:rFonts w:hint="eastAsia" w:ascii="宋体" w:hAnsi="宋体" w:eastAsia="宋体" w:cs="宋体"/>
          <w:color w:val="auto"/>
          <w:sz w:val="24"/>
          <w:highlight w:val="none"/>
          <w:shd w:val="clear" w:color="auto" w:fill="auto"/>
        </w:rPr>
      </w:pPr>
    </w:p>
    <w:p w14:paraId="3211F49A">
      <w:pPr>
        <w:pStyle w:val="14"/>
        <w:rPr>
          <w:rFonts w:hint="eastAsia" w:ascii="宋体" w:hAnsi="宋体" w:eastAsia="宋体" w:cs="宋体"/>
          <w:color w:val="auto"/>
          <w:highlight w:val="none"/>
          <w:shd w:val="clear" w:color="auto" w:fill="auto"/>
        </w:rPr>
      </w:pPr>
    </w:p>
    <w:p w14:paraId="082FB296">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lang w:eastAsia="zh-CN"/>
        </w:rPr>
        <w:t>供应商</w:t>
      </w:r>
      <w:r>
        <w:rPr>
          <w:rFonts w:hint="eastAsia" w:ascii="宋体" w:hAnsi="宋体" w:eastAsia="宋体" w:cs="宋体"/>
          <w:color w:val="auto"/>
          <w:sz w:val="24"/>
          <w:highlight w:val="none"/>
          <w:shd w:val="clear" w:color="auto" w:fill="auto"/>
        </w:rPr>
        <w:t>全称：</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（公章）</w:t>
      </w:r>
    </w:p>
    <w:p w14:paraId="2FA5E5A0">
      <w:pPr>
        <w:kinsoku w:val="0"/>
        <w:spacing w:line="500" w:lineRule="exact"/>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法定代表人或被授权人（签字或盖章）：</w:t>
      </w:r>
      <w:r>
        <w:rPr>
          <w:rFonts w:hint="eastAsia" w:ascii="宋体" w:hAnsi="宋体" w:eastAsia="宋体" w:cs="宋体"/>
          <w:color w:val="auto"/>
          <w:sz w:val="24"/>
          <w:highlight w:val="none"/>
          <w:u w:val="single"/>
          <w:shd w:val="clear" w:color="auto" w:fill="auto"/>
        </w:rPr>
        <w:t xml:space="preserve">                   </w:t>
      </w:r>
    </w:p>
    <w:p w14:paraId="0A8309AE">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日   期：</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年   月   日</w:t>
      </w:r>
    </w:p>
    <w:p w14:paraId="27A9820B">
      <w:pPr>
        <w:pStyle w:val="9"/>
        <w:jc w:val="center"/>
        <w:rPr>
          <w:rFonts w:hint="eastAsia" w:ascii="宋体" w:hAnsi="宋体" w:eastAsia="宋体" w:cs="宋体"/>
          <w:b/>
          <w:color w:val="auto"/>
          <w:sz w:val="32"/>
          <w:highlight w:val="none"/>
          <w:shd w:val="clear" w:color="auto" w:fill="auto"/>
        </w:rPr>
      </w:pPr>
      <w:r>
        <w:rPr>
          <w:rFonts w:hint="eastAsia" w:ascii="宋体" w:hAnsi="宋体" w:eastAsia="宋体" w:cs="宋体"/>
          <w:color w:val="auto"/>
          <w:sz w:val="24"/>
          <w:szCs w:val="24"/>
          <w:highlight w:val="none"/>
          <w:shd w:val="clear" w:color="auto" w:fill="auto"/>
        </w:rPr>
        <w:br w:type="page"/>
      </w:r>
      <w:r>
        <w:rPr>
          <w:rFonts w:hint="eastAsia" w:ascii="宋体" w:hAnsi="宋体" w:eastAsia="宋体" w:cs="宋体"/>
          <w:b/>
          <w:color w:val="auto"/>
          <w:sz w:val="32"/>
          <w:highlight w:val="none"/>
          <w:shd w:val="clear" w:color="auto" w:fill="auto"/>
        </w:rPr>
        <w:t>分项报价表</w:t>
      </w:r>
    </w:p>
    <w:p w14:paraId="630AC3E7">
      <w:pPr>
        <w:tabs>
          <w:tab w:val="right" w:pos="9072"/>
        </w:tabs>
        <w:spacing w:line="480" w:lineRule="exact"/>
        <w:jc w:val="right"/>
        <w:rPr>
          <w:rFonts w:hint="eastAsia" w:ascii="宋体" w:hAnsi="宋体" w:eastAsia="宋体" w:cs="宋体"/>
          <w:b/>
          <w:sz w:val="32"/>
          <w:szCs w:val="32"/>
          <w:highlight w:val="none"/>
        </w:rPr>
      </w:pPr>
      <w:r>
        <w:rPr>
          <w:rFonts w:hint="eastAsia" w:ascii="宋体" w:hAnsi="宋体" w:eastAsia="宋体" w:cs="宋体"/>
          <w:highlight w:val="none"/>
        </w:rPr>
        <w:t>单位：元</w:t>
      </w:r>
    </w:p>
    <w:tbl>
      <w:tblPr>
        <w:tblStyle w:val="15"/>
        <w:tblW w:w="925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625"/>
        <w:gridCol w:w="1128"/>
        <w:gridCol w:w="2142"/>
        <w:gridCol w:w="1348"/>
        <w:gridCol w:w="889"/>
        <w:gridCol w:w="1160"/>
        <w:gridCol w:w="1009"/>
        <w:gridCol w:w="954"/>
      </w:tblGrid>
      <w:tr w14:paraId="00EAAA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850" w:hRule="atLeast"/>
          <w:jc w:val="center"/>
        </w:trPr>
        <w:tc>
          <w:tcPr>
            <w:tcW w:w="625" w:type="dxa"/>
            <w:noWrap/>
            <w:tcMar>
              <w:top w:w="20" w:type="dxa"/>
              <w:left w:w="20" w:type="dxa"/>
              <w:bottom w:w="0" w:type="dxa"/>
              <w:right w:w="20" w:type="dxa"/>
            </w:tcMar>
            <w:vAlign w:val="center"/>
          </w:tcPr>
          <w:p w14:paraId="29162062">
            <w:pPr>
              <w:spacing w:line="440" w:lineRule="exact"/>
              <w:jc w:val="center"/>
              <w:rPr>
                <w:rFonts w:hint="eastAsia" w:ascii="宋体" w:hAnsi="宋体" w:eastAsia="宋体" w:cs="宋体"/>
                <w:b/>
                <w:bCs/>
                <w:color w:val="000000"/>
                <w:highlight w:val="none"/>
              </w:rPr>
            </w:pPr>
            <w:r>
              <w:rPr>
                <w:rFonts w:hint="eastAsia" w:ascii="宋体" w:hAnsi="宋体" w:eastAsia="宋体" w:cs="宋体"/>
                <w:b/>
                <w:bCs/>
                <w:highlight w:val="none"/>
              </w:rPr>
              <w:t>序号</w:t>
            </w:r>
          </w:p>
        </w:tc>
        <w:tc>
          <w:tcPr>
            <w:tcW w:w="1128" w:type="dxa"/>
            <w:noWrap/>
            <w:tcMar>
              <w:top w:w="20" w:type="dxa"/>
              <w:left w:w="20" w:type="dxa"/>
              <w:bottom w:w="0" w:type="dxa"/>
              <w:right w:w="20" w:type="dxa"/>
            </w:tcMar>
            <w:vAlign w:val="center"/>
          </w:tcPr>
          <w:p w14:paraId="244407B6">
            <w:pPr>
              <w:spacing w:line="440" w:lineRule="exact"/>
              <w:jc w:val="center"/>
              <w:rPr>
                <w:rFonts w:hint="eastAsia" w:ascii="宋体" w:hAnsi="宋体" w:eastAsia="宋体" w:cs="宋体"/>
                <w:b/>
                <w:bCs/>
                <w:color w:val="000000"/>
                <w:highlight w:val="none"/>
                <w:lang w:eastAsia="zh-CN"/>
              </w:rPr>
            </w:pPr>
            <w:r>
              <w:rPr>
                <w:rFonts w:hint="eastAsia" w:ascii="宋体" w:hAnsi="宋体" w:eastAsia="宋体" w:cs="宋体"/>
                <w:b/>
                <w:bCs/>
                <w:highlight w:val="none"/>
                <w:lang w:val="en-US" w:eastAsia="zh-CN"/>
              </w:rPr>
              <w:t>名称</w:t>
            </w:r>
          </w:p>
        </w:tc>
        <w:tc>
          <w:tcPr>
            <w:tcW w:w="2142" w:type="dxa"/>
            <w:noWrap/>
            <w:tcMar>
              <w:top w:w="20" w:type="dxa"/>
              <w:left w:w="20" w:type="dxa"/>
              <w:bottom w:w="0" w:type="dxa"/>
              <w:right w:w="20" w:type="dxa"/>
            </w:tcMar>
            <w:vAlign w:val="center"/>
          </w:tcPr>
          <w:p w14:paraId="0CB47D20">
            <w:pPr>
              <w:spacing w:line="440" w:lineRule="exact"/>
              <w:jc w:val="center"/>
              <w:rPr>
                <w:rFonts w:hint="eastAsia" w:ascii="宋体" w:hAnsi="宋体" w:eastAsia="宋体" w:cs="宋体"/>
                <w:b/>
                <w:bCs/>
                <w:color w:val="000000"/>
                <w:highlight w:val="none"/>
                <w:lang w:eastAsia="zh-CN"/>
              </w:rPr>
            </w:pPr>
            <w:r>
              <w:rPr>
                <w:rFonts w:hint="eastAsia" w:ascii="宋体" w:hAnsi="宋体" w:eastAsia="宋体" w:cs="宋体"/>
                <w:b/>
                <w:bCs/>
                <w:highlight w:val="none"/>
                <w:lang w:val="en-US" w:eastAsia="zh-CN"/>
              </w:rPr>
              <w:t>规格型号</w:t>
            </w:r>
          </w:p>
        </w:tc>
        <w:tc>
          <w:tcPr>
            <w:tcW w:w="1348" w:type="dxa"/>
            <w:noWrap/>
            <w:tcMar>
              <w:top w:w="20" w:type="dxa"/>
              <w:left w:w="20" w:type="dxa"/>
              <w:bottom w:w="0" w:type="dxa"/>
              <w:right w:w="20" w:type="dxa"/>
            </w:tcMar>
            <w:vAlign w:val="center"/>
          </w:tcPr>
          <w:p w14:paraId="58002C73">
            <w:pPr>
              <w:spacing w:line="440" w:lineRule="exact"/>
              <w:jc w:val="center"/>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品牌/厂家</w:t>
            </w:r>
          </w:p>
        </w:tc>
        <w:tc>
          <w:tcPr>
            <w:tcW w:w="889" w:type="dxa"/>
            <w:noWrap/>
            <w:tcMar>
              <w:top w:w="20" w:type="dxa"/>
              <w:left w:w="20" w:type="dxa"/>
              <w:bottom w:w="0" w:type="dxa"/>
              <w:right w:w="20" w:type="dxa"/>
            </w:tcMar>
            <w:vAlign w:val="center"/>
          </w:tcPr>
          <w:p w14:paraId="6699C263">
            <w:pPr>
              <w:spacing w:line="440" w:lineRule="exact"/>
              <w:jc w:val="center"/>
              <w:rPr>
                <w:rFonts w:hint="eastAsia" w:ascii="宋体" w:hAnsi="宋体" w:eastAsia="宋体" w:cs="宋体"/>
                <w:b/>
                <w:bCs/>
                <w:color w:val="000000"/>
                <w:highlight w:val="none"/>
                <w:lang w:val="en-US" w:eastAsia="zh-CN"/>
              </w:rPr>
            </w:pPr>
            <w:r>
              <w:rPr>
                <w:rFonts w:hint="eastAsia" w:ascii="宋体" w:hAnsi="宋体" w:eastAsia="宋体" w:cs="宋体"/>
                <w:b/>
                <w:bCs/>
                <w:color w:val="000000"/>
                <w:highlight w:val="none"/>
                <w:lang w:val="en-US" w:eastAsia="zh-CN"/>
              </w:rPr>
              <w:t>单位</w:t>
            </w:r>
          </w:p>
        </w:tc>
        <w:tc>
          <w:tcPr>
            <w:tcW w:w="1160" w:type="dxa"/>
            <w:noWrap/>
            <w:tcMar>
              <w:top w:w="20" w:type="dxa"/>
              <w:left w:w="20" w:type="dxa"/>
              <w:bottom w:w="0" w:type="dxa"/>
              <w:right w:w="20" w:type="dxa"/>
            </w:tcMar>
            <w:vAlign w:val="center"/>
          </w:tcPr>
          <w:p w14:paraId="4C859D5C">
            <w:pPr>
              <w:spacing w:line="440" w:lineRule="exact"/>
              <w:jc w:val="center"/>
              <w:rPr>
                <w:rFonts w:hint="eastAsia" w:ascii="宋体" w:hAnsi="宋体" w:eastAsia="宋体" w:cs="宋体"/>
                <w:b/>
                <w:bCs/>
                <w:color w:val="000000"/>
                <w:highlight w:val="none"/>
              </w:rPr>
            </w:pPr>
            <w:r>
              <w:rPr>
                <w:rFonts w:hint="eastAsia" w:ascii="宋体" w:hAnsi="宋体" w:eastAsia="宋体" w:cs="宋体"/>
                <w:b/>
                <w:bCs/>
                <w:color w:val="000000"/>
                <w:highlight w:val="none"/>
                <w:lang w:val="en-US" w:eastAsia="zh-CN"/>
              </w:rPr>
              <w:t>数量</w:t>
            </w:r>
          </w:p>
        </w:tc>
        <w:tc>
          <w:tcPr>
            <w:tcW w:w="1009" w:type="dxa"/>
            <w:noWrap/>
            <w:tcMar>
              <w:top w:w="20" w:type="dxa"/>
              <w:left w:w="20" w:type="dxa"/>
              <w:bottom w:w="0" w:type="dxa"/>
              <w:right w:w="20" w:type="dxa"/>
            </w:tcMar>
            <w:vAlign w:val="center"/>
          </w:tcPr>
          <w:p w14:paraId="608330F5">
            <w:pPr>
              <w:spacing w:line="440" w:lineRule="exact"/>
              <w:jc w:val="center"/>
              <w:rPr>
                <w:rFonts w:hint="eastAsia" w:ascii="宋体" w:hAnsi="宋体" w:eastAsia="宋体" w:cs="宋体"/>
                <w:b/>
                <w:bCs/>
                <w:color w:val="000000"/>
                <w:highlight w:val="none"/>
              </w:rPr>
            </w:pPr>
            <w:r>
              <w:rPr>
                <w:rFonts w:hint="eastAsia" w:ascii="宋体" w:hAnsi="宋体" w:eastAsia="宋体" w:cs="宋体"/>
                <w:b/>
                <w:bCs/>
                <w:highlight w:val="none"/>
              </w:rPr>
              <w:t>单价</w:t>
            </w:r>
          </w:p>
        </w:tc>
        <w:tc>
          <w:tcPr>
            <w:tcW w:w="954" w:type="dxa"/>
            <w:noWrap w:val="0"/>
            <w:vAlign w:val="center"/>
          </w:tcPr>
          <w:p w14:paraId="63433153">
            <w:pPr>
              <w:spacing w:line="440" w:lineRule="exact"/>
              <w:jc w:val="center"/>
              <w:rPr>
                <w:rFonts w:hint="eastAsia" w:ascii="宋体" w:hAnsi="宋体" w:eastAsia="宋体" w:cs="宋体"/>
                <w:b/>
                <w:bCs/>
                <w:color w:val="000000"/>
                <w:highlight w:val="none"/>
              </w:rPr>
            </w:pPr>
            <w:r>
              <w:rPr>
                <w:rFonts w:hint="eastAsia" w:ascii="宋体" w:hAnsi="宋体" w:eastAsia="宋体" w:cs="宋体"/>
                <w:b/>
                <w:bCs/>
                <w:highlight w:val="none"/>
              </w:rPr>
              <w:t>总价</w:t>
            </w:r>
          </w:p>
        </w:tc>
      </w:tr>
      <w:tr w14:paraId="3AAC5B0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86" w:hRule="atLeast"/>
          <w:jc w:val="center"/>
        </w:trPr>
        <w:tc>
          <w:tcPr>
            <w:tcW w:w="625" w:type="dxa"/>
            <w:noWrap/>
            <w:tcMar>
              <w:top w:w="20" w:type="dxa"/>
              <w:left w:w="20" w:type="dxa"/>
              <w:bottom w:w="0" w:type="dxa"/>
              <w:right w:w="20" w:type="dxa"/>
            </w:tcMar>
            <w:vAlign w:val="center"/>
          </w:tcPr>
          <w:p w14:paraId="43722F57">
            <w:pPr>
              <w:spacing w:line="440" w:lineRule="exact"/>
              <w:jc w:val="center"/>
              <w:rPr>
                <w:rFonts w:hint="eastAsia" w:ascii="宋体" w:hAnsi="宋体" w:eastAsia="宋体" w:cs="宋体"/>
                <w:b/>
                <w:bCs/>
                <w:color w:val="000000"/>
                <w:highlight w:val="none"/>
              </w:rPr>
            </w:pPr>
          </w:p>
        </w:tc>
        <w:tc>
          <w:tcPr>
            <w:tcW w:w="1128" w:type="dxa"/>
            <w:noWrap/>
            <w:tcMar>
              <w:top w:w="20" w:type="dxa"/>
              <w:left w:w="20" w:type="dxa"/>
              <w:bottom w:w="0" w:type="dxa"/>
              <w:right w:w="20" w:type="dxa"/>
            </w:tcMar>
            <w:vAlign w:val="center"/>
          </w:tcPr>
          <w:p w14:paraId="29E7C403">
            <w:pPr>
              <w:spacing w:line="440" w:lineRule="exact"/>
              <w:jc w:val="center"/>
              <w:rPr>
                <w:rFonts w:hint="eastAsia" w:ascii="宋体" w:hAnsi="宋体" w:eastAsia="宋体" w:cs="宋体"/>
                <w:b/>
                <w:bCs/>
                <w:color w:val="000000"/>
                <w:highlight w:val="none"/>
              </w:rPr>
            </w:pPr>
          </w:p>
        </w:tc>
        <w:tc>
          <w:tcPr>
            <w:tcW w:w="2142" w:type="dxa"/>
            <w:noWrap/>
            <w:tcMar>
              <w:top w:w="20" w:type="dxa"/>
              <w:left w:w="20" w:type="dxa"/>
              <w:bottom w:w="0" w:type="dxa"/>
              <w:right w:w="20" w:type="dxa"/>
            </w:tcMar>
            <w:vAlign w:val="center"/>
          </w:tcPr>
          <w:p w14:paraId="2542F368">
            <w:pPr>
              <w:spacing w:line="440" w:lineRule="exact"/>
              <w:jc w:val="center"/>
              <w:rPr>
                <w:rFonts w:hint="eastAsia" w:ascii="宋体" w:hAnsi="宋体" w:eastAsia="宋体" w:cs="宋体"/>
                <w:b/>
                <w:bCs/>
                <w:color w:val="000000"/>
                <w:highlight w:val="none"/>
              </w:rPr>
            </w:pPr>
          </w:p>
        </w:tc>
        <w:tc>
          <w:tcPr>
            <w:tcW w:w="1348" w:type="dxa"/>
            <w:noWrap/>
            <w:tcMar>
              <w:top w:w="20" w:type="dxa"/>
              <w:left w:w="20" w:type="dxa"/>
              <w:bottom w:w="0" w:type="dxa"/>
              <w:right w:w="20" w:type="dxa"/>
            </w:tcMar>
            <w:vAlign w:val="center"/>
          </w:tcPr>
          <w:p w14:paraId="7C34B442">
            <w:pPr>
              <w:spacing w:line="440" w:lineRule="exact"/>
              <w:jc w:val="center"/>
              <w:rPr>
                <w:rFonts w:hint="eastAsia" w:ascii="宋体" w:hAnsi="宋体" w:eastAsia="宋体" w:cs="宋体"/>
                <w:b/>
                <w:bCs/>
                <w:color w:val="000000"/>
                <w:highlight w:val="none"/>
              </w:rPr>
            </w:pPr>
          </w:p>
        </w:tc>
        <w:tc>
          <w:tcPr>
            <w:tcW w:w="889" w:type="dxa"/>
            <w:noWrap/>
            <w:tcMar>
              <w:top w:w="20" w:type="dxa"/>
              <w:left w:w="20" w:type="dxa"/>
              <w:bottom w:w="0" w:type="dxa"/>
              <w:right w:w="20" w:type="dxa"/>
            </w:tcMar>
            <w:vAlign w:val="center"/>
          </w:tcPr>
          <w:p w14:paraId="54213695">
            <w:pPr>
              <w:spacing w:line="440" w:lineRule="exact"/>
              <w:jc w:val="center"/>
              <w:rPr>
                <w:rFonts w:hint="eastAsia" w:ascii="宋体" w:hAnsi="宋体" w:eastAsia="宋体" w:cs="宋体"/>
                <w:b/>
                <w:bCs/>
                <w:color w:val="000000"/>
                <w:highlight w:val="none"/>
              </w:rPr>
            </w:pPr>
          </w:p>
        </w:tc>
        <w:tc>
          <w:tcPr>
            <w:tcW w:w="1160" w:type="dxa"/>
            <w:noWrap/>
            <w:tcMar>
              <w:top w:w="20" w:type="dxa"/>
              <w:left w:w="20" w:type="dxa"/>
              <w:bottom w:w="0" w:type="dxa"/>
              <w:right w:w="20" w:type="dxa"/>
            </w:tcMar>
            <w:vAlign w:val="center"/>
          </w:tcPr>
          <w:p w14:paraId="22EF23FF">
            <w:pPr>
              <w:spacing w:line="440" w:lineRule="exact"/>
              <w:jc w:val="center"/>
              <w:rPr>
                <w:rFonts w:hint="eastAsia" w:ascii="宋体" w:hAnsi="宋体" w:eastAsia="宋体" w:cs="宋体"/>
                <w:b/>
                <w:bCs/>
                <w:color w:val="000000"/>
                <w:highlight w:val="none"/>
              </w:rPr>
            </w:pPr>
          </w:p>
        </w:tc>
        <w:tc>
          <w:tcPr>
            <w:tcW w:w="1009" w:type="dxa"/>
            <w:noWrap/>
            <w:tcMar>
              <w:top w:w="20" w:type="dxa"/>
              <w:left w:w="20" w:type="dxa"/>
              <w:bottom w:w="0" w:type="dxa"/>
              <w:right w:w="20" w:type="dxa"/>
            </w:tcMar>
            <w:vAlign w:val="center"/>
          </w:tcPr>
          <w:p w14:paraId="7F0700F1">
            <w:pPr>
              <w:spacing w:line="440" w:lineRule="exact"/>
              <w:jc w:val="center"/>
              <w:rPr>
                <w:rFonts w:hint="eastAsia" w:ascii="宋体" w:hAnsi="宋体" w:eastAsia="宋体" w:cs="宋体"/>
                <w:b/>
                <w:bCs/>
                <w:color w:val="000000"/>
                <w:highlight w:val="none"/>
              </w:rPr>
            </w:pPr>
          </w:p>
        </w:tc>
        <w:tc>
          <w:tcPr>
            <w:tcW w:w="954" w:type="dxa"/>
            <w:noWrap w:val="0"/>
            <w:vAlign w:val="center"/>
          </w:tcPr>
          <w:p w14:paraId="342EB5FA">
            <w:pPr>
              <w:spacing w:line="440" w:lineRule="exact"/>
              <w:jc w:val="center"/>
              <w:rPr>
                <w:rFonts w:hint="eastAsia" w:ascii="宋体" w:hAnsi="宋体" w:eastAsia="宋体" w:cs="宋体"/>
                <w:b/>
                <w:bCs/>
                <w:color w:val="000000"/>
                <w:highlight w:val="none"/>
              </w:rPr>
            </w:pPr>
          </w:p>
        </w:tc>
      </w:tr>
      <w:tr w14:paraId="748BD52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86" w:hRule="atLeast"/>
          <w:jc w:val="center"/>
        </w:trPr>
        <w:tc>
          <w:tcPr>
            <w:tcW w:w="625" w:type="dxa"/>
            <w:noWrap/>
            <w:tcMar>
              <w:top w:w="20" w:type="dxa"/>
              <w:left w:w="20" w:type="dxa"/>
              <w:bottom w:w="0" w:type="dxa"/>
              <w:right w:w="20" w:type="dxa"/>
            </w:tcMar>
            <w:vAlign w:val="center"/>
          </w:tcPr>
          <w:p w14:paraId="5970CA8E">
            <w:pPr>
              <w:spacing w:line="440" w:lineRule="exact"/>
              <w:jc w:val="center"/>
              <w:rPr>
                <w:rFonts w:hint="eastAsia" w:ascii="宋体" w:hAnsi="宋体" w:eastAsia="宋体" w:cs="宋体"/>
                <w:b/>
                <w:bCs/>
                <w:color w:val="000000"/>
                <w:highlight w:val="none"/>
              </w:rPr>
            </w:pPr>
          </w:p>
        </w:tc>
        <w:tc>
          <w:tcPr>
            <w:tcW w:w="1128" w:type="dxa"/>
            <w:noWrap/>
            <w:tcMar>
              <w:top w:w="20" w:type="dxa"/>
              <w:left w:w="20" w:type="dxa"/>
              <w:bottom w:w="0" w:type="dxa"/>
              <w:right w:w="20" w:type="dxa"/>
            </w:tcMar>
            <w:vAlign w:val="center"/>
          </w:tcPr>
          <w:p w14:paraId="3F285EA6">
            <w:pPr>
              <w:spacing w:line="440" w:lineRule="exact"/>
              <w:jc w:val="center"/>
              <w:rPr>
                <w:rFonts w:hint="eastAsia" w:ascii="宋体" w:hAnsi="宋体" w:eastAsia="宋体" w:cs="宋体"/>
                <w:b/>
                <w:bCs/>
                <w:color w:val="000000"/>
                <w:highlight w:val="none"/>
              </w:rPr>
            </w:pPr>
          </w:p>
        </w:tc>
        <w:tc>
          <w:tcPr>
            <w:tcW w:w="2142" w:type="dxa"/>
            <w:noWrap/>
            <w:tcMar>
              <w:top w:w="20" w:type="dxa"/>
              <w:left w:w="20" w:type="dxa"/>
              <w:bottom w:w="0" w:type="dxa"/>
              <w:right w:w="20" w:type="dxa"/>
            </w:tcMar>
            <w:vAlign w:val="center"/>
          </w:tcPr>
          <w:p w14:paraId="03B268F9">
            <w:pPr>
              <w:spacing w:line="440" w:lineRule="exact"/>
              <w:jc w:val="center"/>
              <w:rPr>
                <w:rFonts w:hint="eastAsia" w:ascii="宋体" w:hAnsi="宋体" w:eastAsia="宋体" w:cs="宋体"/>
                <w:b/>
                <w:bCs/>
                <w:color w:val="000000"/>
                <w:highlight w:val="none"/>
              </w:rPr>
            </w:pPr>
          </w:p>
        </w:tc>
        <w:tc>
          <w:tcPr>
            <w:tcW w:w="1348" w:type="dxa"/>
            <w:noWrap/>
            <w:tcMar>
              <w:top w:w="20" w:type="dxa"/>
              <w:left w:w="20" w:type="dxa"/>
              <w:bottom w:w="0" w:type="dxa"/>
              <w:right w:w="20" w:type="dxa"/>
            </w:tcMar>
            <w:vAlign w:val="center"/>
          </w:tcPr>
          <w:p w14:paraId="359BB1A0">
            <w:pPr>
              <w:spacing w:line="440" w:lineRule="exact"/>
              <w:jc w:val="center"/>
              <w:rPr>
                <w:rFonts w:hint="eastAsia" w:ascii="宋体" w:hAnsi="宋体" w:eastAsia="宋体" w:cs="宋体"/>
                <w:b/>
                <w:bCs/>
                <w:color w:val="000000"/>
                <w:highlight w:val="none"/>
              </w:rPr>
            </w:pPr>
          </w:p>
        </w:tc>
        <w:tc>
          <w:tcPr>
            <w:tcW w:w="889" w:type="dxa"/>
            <w:noWrap/>
            <w:tcMar>
              <w:top w:w="20" w:type="dxa"/>
              <w:left w:w="20" w:type="dxa"/>
              <w:bottom w:w="0" w:type="dxa"/>
              <w:right w:w="20" w:type="dxa"/>
            </w:tcMar>
            <w:vAlign w:val="center"/>
          </w:tcPr>
          <w:p w14:paraId="669CE5D1">
            <w:pPr>
              <w:spacing w:line="440" w:lineRule="exact"/>
              <w:jc w:val="center"/>
              <w:rPr>
                <w:rFonts w:hint="eastAsia" w:ascii="宋体" w:hAnsi="宋体" w:eastAsia="宋体" w:cs="宋体"/>
                <w:b/>
                <w:bCs/>
                <w:color w:val="000000"/>
                <w:highlight w:val="none"/>
              </w:rPr>
            </w:pPr>
          </w:p>
        </w:tc>
        <w:tc>
          <w:tcPr>
            <w:tcW w:w="1160" w:type="dxa"/>
            <w:noWrap/>
            <w:tcMar>
              <w:top w:w="20" w:type="dxa"/>
              <w:left w:w="20" w:type="dxa"/>
              <w:bottom w:w="0" w:type="dxa"/>
              <w:right w:w="20" w:type="dxa"/>
            </w:tcMar>
            <w:vAlign w:val="center"/>
          </w:tcPr>
          <w:p w14:paraId="05A3AD97">
            <w:pPr>
              <w:spacing w:line="440" w:lineRule="exact"/>
              <w:jc w:val="center"/>
              <w:rPr>
                <w:rFonts w:hint="eastAsia" w:ascii="宋体" w:hAnsi="宋体" w:eastAsia="宋体" w:cs="宋体"/>
                <w:b/>
                <w:bCs/>
                <w:color w:val="000000"/>
                <w:highlight w:val="none"/>
              </w:rPr>
            </w:pPr>
          </w:p>
        </w:tc>
        <w:tc>
          <w:tcPr>
            <w:tcW w:w="1009" w:type="dxa"/>
            <w:noWrap/>
            <w:tcMar>
              <w:top w:w="20" w:type="dxa"/>
              <w:left w:w="20" w:type="dxa"/>
              <w:bottom w:w="0" w:type="dxa"/>
              <w:right w:w="20" w:type="dxa"/>
            </w:tcMar>
            <w:vAlign w:val="center"/>
          </w:tcPr>
          <w:p w14:paraId="7DE324D0">
            <w:pPr>
              <w:spacing w:line="440" w:lineRule="exact"/>
              <w:jc w:val="center"/>
              <w:rPr>
                <w:rFonts w:hint="eastAsia" w:ascii="宋体" w:hAnsi="宋体" w:eastAsia="宋体" w:cs="宋体"/>
                <w:b/>
                <w:bCs/>
                <w:color w:val="000000"/>
                <w:highlight w:val="none"/>
              </w:rPr>
            </w:pPr>
          </w:p>
        </w:tc>
        <w:tc>
          <w:tcPr>
            <w:tcW w:w="954" w:type="dxa"/>
            <w:noWrap w:val="0"/>
            <w:vAlign w:val="center"/>
          </w:tcPr>
          <w:p w14:paraId="7C86CD0B">
            <w:pPr>
              <w:spacing w:line="440" w:lineRule="exact"/>
              <w:jc w:val="center"/>
              <w:rPr>
                <w:rFonts w:hint="eastAsia" w:ascii="宋体" w:hAnsi="宋体" w:eastAsia="宋体" w:cs="宋体"/>
                <w:b/>
                <w:bCs/>
                <w:color w:val="000000"/>
                <w:highlight w:val="none"/>
              </w:rPr>
            </w:pPr>
          </w:p>
        </w:tc>
      </w:tr>
      <w:tr w14:paraId="044F3C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86" w:hRule="atLeast"/>
          <w:jc w:val="center"/>
        </w:trPr>
        <w:tc>
          <w:tcPr>
            <w:tcW w:w="625" w:type="dxa"/>
            <w:noWrap/>
            <w:tcMar>
              <w:top w:w="20" w:type="dxa"/>
              <w:left w:w="20" w:type="dxa"/>
              <w:bottom w:w="0" w:type="dxa"/>
              <w:right w:w="20" w:type="dxa"/>
            </w:tcMar>
            <w:vAlign w:val="center"/>
          </w:tcPr>
          <w:p w14:paraId="6038E938">
            <w:pPr>
              <w:spacing w:line="440" w:lineRule="exact"/>
              <w:jc w:val="center"/>
              <w:rPr>
                <w:rFonts w:hint="eastAsia" w:ascii="宋体" w:hAnsi="宋体" w:eastAsia="宋体" w:cs="宋体"/>
                <w:b/>
                <w:bCs/>
                <w:color w:val="000000"/>
                <w:highlight w:val="none"/>
              </w:rPr>
            </w:pPr>
          </w:p>
        </w:tc>
        <w:tc>
          <w:tcPr>
            <w:tcW w:w="1128" w:type="dxa"/>
            <w:noWrap/>
            <w:tcMar>
              <w:top w:w="20" w:type="dxa"/>
              <w:left w:w="20" w:type="dxa"/>
              <w:bottom w:w="0" w:type="dxa"/>
              <w:right w:w="20" w:type="dxa"/>
            </w:tcMar>
            <w:vAlign w:val="center"/>
          </w:tcPr>
          <w:p w14:paraId="58F8B73B">
            <w:pPr>
              <w:spacing w:line="440" w:lineRule="exact"/>
              <w:jc w:val="center"/>
              <w:rPr>
                <w:rFonts w:hint="eastAsia" w:ascii="宋体" w:hAnsi="宋体" w:eastAsia="宋体" w:cs="宋体"/>
                <w:b/>
                <w:bCs/>
                <w:color w:val="000000"/>
                <w:highlight w:val="none"/>
              </w:rPr>
            </w:pPr>
          </w:p>
        </w:tc>
        <w:tc>
          <w:tcPr>
            <w:tcW w:w="2142" w:type="dxa"/>
            <w:noWrap/>
            <w:tcMar>
              <w:top w:w="20" w:type="dxa"/>
              <w:left w:w="20" w:type="dxa"/>
              <w:bottom w:w="0" w:type="dxa"/>
              <w:right w:w="20" w:type="dxa"/>
            </w:tcMar>
            <w:vAlign w:val="center"/>
          </w:tcPr>
          <w:p w14:paraId="31F668EC">
            <w:pPr>
              <w:spacing w:line="440" w:lineRule="exact"/>
              <w:jc w:val="center"/>
              <w:rPr>
                <w:rFonts w:hint="eastAsia" w:ascii="宋体" w:hAnsi="宋体" w:eastAsia="宋体" w:cs="宋体"/>
                <w:b/>
                <w:bCs/>
                <w:color w:val="000000"/>
                <w:highlight w:val="none"/>
              </w:rPr>
            </w:pPr>
          </w:p>
        </w:tc>
        <w:tc>
          <w:tcPr>
            <w:tcW w:w="1348" w:type="dxa"/>
            <w:noWrap/>
            <w:tcMar>
              <w:top w:w="20" w:type="dxa"/>
              <w:left w:w="20" w:type="dxa"/>
              <w:bottom w:w="0" w:type="dxa"/>
              <w:right w:w="20" w:type="dxa"/>
            </w:tcMar>
            <w:vAlign w:val="center"/>
          </w:tcPr>
          <w:p w14:paraId="2E15F303">
            <w:pPr>
              <w:spacing w:line="440" w:lineRule="exact"/>
              <w:jc w:val="center"/>
              <w:rPr>
                <w:rFonts w:hint="eastAsia" w:ascii="宋体" w:hAnsi="宋体" w:eastAsia="宋体" w:cs="宋体"/>
                <w:b/>
                <w:bCs/>
                <w:color w:val="000000"/>
                <w:highlight w:val="none"/>
              </w:rPr>
            </w:pPr>
          </w:p>
        </w:tc>
        <w:tc>
          <w:tcPr>
            <w:tcW w:w="889" w:type="dxa"/>
            <w:noWrap/>
            <w:tcMar>
              <w:top w:w="20" w:type="dxa"/>
              <w:left w:w="20" w:type="dxa"/>
              <w:bottom w:w="0" w:type="dxa"/>
              <w:right w:w="20" w:type="dxa"/>
            </w:tcMar>
            <w:vAlign w:val="center"/>
          </w:tcPr>
          <w:p w14:paraId="640B7021">
            <w:pPr>
              <w:spacing w:line="440" w:lineRule="exact"/>
              <w:jc w:val="center"/>
              <w:rPr>
                <w:rFonts w:hint="eastAsia" w:ascii="宋体" w:hAnsi="宋体" w:eastAsia="宋体" w:cs="宋体"/>
                <w:b/>
                <w:bCs/>
                <w:color w:val="000000"/>
                <w:highlight w:val="none"/>
              </w:rPr>
            </w:pPr>
          </w:p>
        </w:tc>
        <w:tc>
          <w:tcPr>
            <w:tcW w:w="1160" w:type="dxa"/>
            <w:noWrap/>
            <w:tcMar>
              <w:top w:w="20" w:type="dxa"/>
              <w:left w:w="20" w:type="dxa"/>
              <w:bottom w:w="0" w:type="dxa"/>
              <w:right w:w="20" w:type="dxa"/>
            </w:tcMar>
            <w:vAlign w:val="center"/>
          </w:tcPr>
          <w:p w14:paraId="28D05CC2">
            <w:pPr>
              <w:spacing w:line="440" w:lineRule="exact"/>
              <w:jc w:val="center"/>
              <w:rPr>
                <w:rFonts w:hint="eastAsia" w:ascii="宋体" w:hAnsi="宋体" w:eastAsia="宋体" w:cs="宋体"/>
                <w:b/>
                <w:bCs/>
                <w:color w:val="000000"/>
                <w:highlight w:val="none"/>
              </w:rPr>
            </w:pPr>
          </w:p>
        </w:tc>
        <w:tc>
          <w:tcPr>
            <w:tcW w:w="1009" w:type="dxa"/>
            <w:noWrap/>
            <w:tcMar>
              <w:top w:w="20" w:type="dxa"/>
              <w:left w:w="20" w:type="dxa"/>
              <w:bottom w:w="0" w:type="dxa"/>
              <w:right w:w="20" w:type="dxa"/>
            </w:tcMar>
            <w:vAlign w:val="center"/>
          </w:tcPr>
          <w:p w14:paraId="76B4D50B">
            <w:pPr>
              <w:spacing w:line="440" w:lineRule="exact"/>
              <w:jc w:val="center"/>
              <w:rPr>
                <w:rFonts w:hint="eastAsia" w:ascii="宋体" w:hAnsi="宋体" w:eastAsia="宋体" w:cs="宋体"/>
                <w:b/>
                <w:bCs/>
                <w:color w:val="000000"/>
                <w:highlight w:val="none"/>
              </w:rPr>
            </w:pPr>
          </w:p>
        </w:tc>
        <w:tc>
          <w:tcPr>
            <w:tcW w:w="954" w:type="dxa"/>
            <w:noWrap w:val="0"/>
            <w:vAlign w:val="center"/>
          </w:tcPr>
          <w:p w14:paraId="5350D291">
            <w:pPr>
              <w:spacing w:line="440" w:lineRule="exact"/>
              <w:jc w:val="center"/>
              <w:rPr>
                <w:rFonts w:hint="eastAsia" w:ascii="宋体" w:hAnsi="宋体" w:eastAsia="宋体" w:cs="宋体"/>
                <w:b/>
                <w:bCs/>
                <w:color w:val="000000"/>
                <w:highlight w:val="none"/>
              </w:rPr>
            </w:pPr>
          </w:p>
        </w:tc>
      </w:tr>
      <w:tr w14:paraId="34825A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86" w:hRule="atLeast"/>
          <w:jc w:val="center"/>
        </w:trPr>
        <w:tc>
          <w:tcPr>
            <w:tcW w:w="625" w:type="dxa"/>
            <w:noWrap/>
            <w:tcMar>
              <w:top w:w="20" w:type="dxa"/>
              <w:left w:w="20" w:type="dxa"/>
              <w:bottom w:w="0" w:type="dxa"/>
              <w:right w:w="20" w:type="dxa"/>
            </w:tcMar>
            <w:vAlign w:val="center"/>
          </w:tcPr>
          <w:p w14:paraId="72E3ABF2">
            <w:pPr>
              <w:spacing w:line="440" w:lineRule="exact"/>
              <w:jc w:val="center"/>
              <w:rPr>
                <w:rFonts w:hint="eastAsia" w:ascii="宋体" w:hAnsi="宋体" w:eastAsia="宋体" w:cs="宋体"/>
                <w:b/>
                <w:bCs/>
                <w:color w:val="000000"/>
                <w:highlight w:val="none"/>
              </w:rPr>
            </w:pPr>
          </w:p>
        </w:tc>
        <w:tc>
          <w:tcPr>
            <w:tcW w:w="1128" w:type="dxa"/>
            <w:noWrap/>
            <w:tcMar>
              <w:top w:w="20" w:type="dxa"/>
              <w:left w:w="20" w:type="dxa"/>
              <w:bottom w:w="0" w:type="dxa"/>
              <w:right w:w="20" w:type="dxa"/>
            </w:tcMar>
            <w:vAlign w:val="center"/>
          </w:tcPr>
          <w:p w14:paraId="3DA38458">
            <w:pPr>
              <w:spacing w:line="440" w:lineRule="exact"/>
              <w:jc w:val="center"/>
              <w:rPr>
                <w:rFonts w:hint="eastAsia" w:ascii="宋体" w:hAnsi="宋体" w:eastAsia="宋体" w:cs="宋体"/>
                <w:b/>
                <w:bCs/>
                <w:color w:val="000000"/>
                <w:highlight w:val="none"/>
              </w:rPr>
            </w:pPr>
          </w:p>
        </w:tc>
        <w:tc>
          <w:tcPr>
            <w:tcW w:w="2142" w:type="dxa"/>
            <w:noWrap/>
            <w:tcMar>
              <w:top w:w="20" w:type="dxa"/>
              <w:left w:w="20" w:type="dxa"/>
              <w:bottom w:w="0" w:type="dxa"/>
              <w:right w:w="20" w:type="dxa"/>
            </w:tcMar>
            <w:vAlign w:val="center"/>
          </w:tcPr>
          <w:p w14:paraId="7B1B2E89">
            <w:pPr>
              <w:spacing w:line="440" w:lineRule="exact"/>
              <w:jc w:val="center"/>
              <w:rPr>
                <w:rFonts w:hint="eastAsia" w:ascii="宋体" w:hAnsi="宋体" w:eastAsia="宋体" w:cs="宋体"/>
                <w:b/>
                <w:bCs/>
                <w:color w:val="000000"/>
                <w:highlight w:val="none"/>
              </w:rPr>
            </w:pPr>
          </w:p>
        </w:tc>
        <w:tc>
          <w:tcPr>
            <w:tcW w:w="1348" w:type="dxa"/>
            <w:noWrap/>
            <w:tcMar>
              <w:top w:w="20" w:type="dxa"/>
              <w:left w:w="20" w:type="dxa"/>
              <w:bottom w:w="0" w:type="dxa"/>
              <w:right w:w="20" w:type="dxa"/>
            </w:tcMar>
            <w:vAlign w:val="center"/>
          </w:tcPr>
          <w:p w14:paraId="4D40AF17">
            <w:pPr>
              <w:spacing w:line="440" w:lineRule="exact"/>
              <w:jc w:val="center"/>
              <w:rPr>
                <w:rFonts w:hint="eastAsia" w:ascii="宋体" w:hAnsi="宋体" w:eastAsia="宋体" w:cs="宋体"/>
                <w:b/>
                <w:bCs/>
                <w:color w:val="000000"/>
                <w:highlight w:val="none"/>
              </w:rPr>
            </w:pPr>
          </w:p>
        </w:tc>
        <w:tc>
          <w:tcPr>
            <w:tcW w:w="889" w:type="dxa"/>
            <w:noWrap/>
            <w:tcMar>
              <w:top w:w="20" w:type="dxa"/>
              <w:left w:w="20" w:type="dxa"/>
              <w:bottom w:w="0" w:type="dxa"/>
              <w:right w:w="20" w:type="dxa"/>
            </w:tcMar>
            <w:vAlign w:val="center"/>
          </w:tcPr>
          <w:p w14:paraId="58B142E2">
            <w:pPr>
              <w:spacing w:line="440" w:lineRule="exact"/>
              <w:jc w:val="center"/>
              <w:rPr>
                <w:rFonts w:hint="eastAsia" w:ascii="宋体" w:hAnsi="宋体" w:eastAsia="宋体" w:cs="宋体"/>
                <w:b/>
                <w:bCs/>
                <w:color w:val="000000"/>
                <w:highlight w:val="none"/>
              </w:rPr>
            </w:pPr>
          </w:p>
        </w:tc>
        <w:tc>
          <w:tcPr>
            <w:tcW w:w="1160" w:type="dxa"/>
            <w:noWrap/>
            <w:tcMar>
              <w:top w:w="20" w:type="dxa"/>
              <w:left w:w="20" w:type="dxa"/>
              <w:bottom w:w="0" w:type="dxa"/>
              <w:right w:w="20" w:type="dxa"/>
            </w:tcMar>
            <w:vAlign w:val="center"/>
          </w:tcPr>
          <w:p w14:paraId="6D1DB502">
            <w:pPr>
              <w:spacing w:line="440" w:lineRule="exact"/>
              <w:jc w:val="center"/>
              <w:rPr>
                <w:rFonts w:hint="eastAsia" w:ascii="宋体" w:hAnsi="宋体" w:eastAsia="宋体" w:cs="宋体"/>
                <w:b/>
                <w:bCs/>
                <w:color w:val="000000"/>
                <w:highlight w:val="none"/>
              </w:rPr>
            </w:pPr>
          </w:p>
        </w:tc>
        <w:tc>
          <w:tcPr>
            <w:tcW w:w="1009" w:type="dxa"/>
            <w:noWrap/>
            <w:tcMar>
              <w:top w:w="20" w:type="dxa"/>
              <w:left w:w="20" w:type="dxa"/>
              <w:bottom w:w="0" w:type="dxa"/>
              <w:right w:w="20" w:type="dxa"/>
            </w:tcMar>
            <w:vAlign w:val="center"/>
          </w:tcPr>
          <w:p w14:paraId="72EABEB3">
            <w:pPr>
              <w:spacing w:line="440" w:lineRule="exact"/>
              <w:jc w:val="center"/>
              <w:rPr>
                <w:rFonts w:hint="eastAsia" w:ascii="宋体" w:hAnsi="宋体" w:eastAsia="宋体" w:cs="宋体"/>
                <w:b/>
                <w:bCs/>
                <w:color w:val="000000"/>
                <w:highlight w:val="none"/>
              </w:rPr>
            </w:pPr>
          </w:p>
        </w:tc>
        <w:tc>
          <w:tcPr>
            <w:tcW w:w="954" w:type="dxa"/>
            <w:noWrap w:val="0"/>
            <w:vAlign w:val="center"/>
          </w:tcPr>
          <w:p w14:paraId="252A9445">
            <w:pPr>
              <w:spacing w:line="440" w:lineRule="exact"/>
              <w:jc w:val="center"/>
              <w:rPr>
                <w:rFonts w:hint="eastAsia" w:ascii="宋体" w:hAnsi="宋体" w:eastAsia="宋体" w:cs="宋体"/>
                <w:b/>
                <w:bCs/>
                <w:color w:val="000000"/>
                <w:highlight w:val="none"/>
              </w:rPr>
            </w:pPr>
          </w:p>
        </w:tc>
      </w:tr>
      <w:tr w14:paraId="68EA940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86" w:hRule="atLeast"/>
          <w:jc w:val="center"/>
        </w:trPr>
        <w:tc>
          <w:tcPr>
            <w:tcW w:w="625" w:type="dxa"/>
            <w:noWrap/>
            <w:tcMar>
              <w:top w:w="20" w:type="dxa"/>
              <w:left w:w="20" w:type="dxa"/>
              <w:bottom w:w="0" w:type="dxa"/>
              <w:right w:w="20" w:type="dxa"/>
            </w:tcMar>
            <w:vAlign w:val="center"/>
          </w:tcPr>
          <w:p w14:paraId="6A710C13">
            <w:pPr>
              <w:spacing w:line="440" w:lineRule="exact"/>
              <w:jc w:val="center"/>
              <w:rPr>
                <w:rFonts w:hint="eastAsia" w:ascii="宋体" w:hAnsi="宋体" w:eastAsia="宋体" w:cs="宋体"/>
                <w:b/>
                <w:bCs/>
                <w:color w:val="000000"/>
                <w:highlight w:val="none"/>
              </w:rPr>
            </w:pPr>
          </w:p>
        </w:tc>
        <w:tc>
          <w:tcPr>
            <w:tcW w:w="1128" w:type="dxa"/>
            <w:noWrap/>
            <w:tcMar>
              <w:top w:w="20" w:type="dxa"/>
              <w:left w:w="20" w:type="dxa"/>
              <w:bottom w:w="0" w:type="dxa"/>
              <w:right w:w="20" w:type="dxa"/>
            </w:tcMar>
            <w:vAlign w:val="center"/>
          </w:tcPr>
          <w:p w14:paraId="58993578">
            <w:pPr>
              <w:spacing w:line="440" w:lineRule="exact"/>
              <w:jc w:val="center"/>
              <w:rPr>
                <w:rFonts w:hint="eastAsia" w:ascii="宋体" w:hAnsi="宋体" w:eastAsia="宋体" w:cs="宋体"/>
                <w:b/>
                <w:bCs/>
                <w:color w:val="000000"/>
                <w:highlight w:val="none"/>
              </w:rPr>
            </w:pPr>
          </w:p>
        </w:tc>
        <w:tc>
          <w:tcPr>
            <w:tcW w:w="2142" w:type="dxa"/>
            <w:noWrap/>
            <w:tcMar>
              <w:top w:w="20" w:type="dxa"/>
              <w:left w:w="20" w:type="dxa"/>
              <w:bottom w:w="0" w:type="dxa"/>
              <w:right w:w="20" w:type="dxa"/>
            </w:tcMar>
            <w:vAlign w:val="center"/>
          </w:tcPr>
          <w:p w14:paraId="7F700D9D">
            <w:pPr>
              <w:spacing w:line="440" w:lineRule="exact"/>
              <w:jc w:val="center"/>
              <w:rPr>
                <w:rFonts w:hint="eastAsia" w:ascii="宋体" w:hAnsi="宋体" w:eastAsia="宋体" w:cs="宋体"/>
                <w:b/>
                <w:bCs/>
                <w:color w:val="000000"/>
                <w:highlight w:val="none"/>
              </w:rPr>
            </w:pPr>
          </w:p>
        </w:tc>
        <w:tc>
          <w:tcPr>
            <w:tcW w:w="1348" w:type="dxa"/>
            <w:noWrap/>
            <w:tcMar>
              <w:top w:w="20" w:type="dxa"/>
              <w:left w:w="20" w:type="dxa"/>
              <w:bottom w:w="0" w:type="dxa"/>
              <w:right w:w="20" w:type="dxa"/>
            </w:tcMar>
            <w:vAlign w:val="center"/>
          </w:tcPr>
          <w:p w14:paraId="6EC498FF">
            <w:pPr>
              <w:spacing w:line="440" w:lineRule="exact"/>
              <w:jc w:val="center"/>
              <w:rPr>
                <w:rFonts w:hint="eastAsia" w:ascii="宋体" w:hAnsi="宋体" w:eastAsia="宋体" w:cs="宋体"/>
                <w:b/>
                <w:bCs/>
                <w:color w:val="000000"/>
                <w:highlight w:val="none"/>
              </w:rPr>
            </w:pPr>
          </w:p>
        </w:tc>
        <w:tc>
          <w:tcPr>
            <w:tcW w:w="889" w:type="dxa"/>
            <w:noWrap/>
            <w:tcMar>
              <w:top w:w="20" w:type="dxa"/>
              <w:left w:w="20" w:type="dxa"/>
              <w:bottom w:w="0" w:type="dxa"/>
              <w:right w:w="20" w:type="dxa"/>
            </w:tcMar>
            <w:vAlign w:val="center"/>
          </w:tcPr>
          <w:p w14:paraId="119E8D8A">
            <w:pPr>
              <w:spacing w:line="440" w:lineRule="exact"/>
              <w:jc w:val="center"/>
              <w:rPr>
                <w:rFonts w:hint="eastAsia" w:ascii="宋体" w:hAnsi="宋体" w:eastAsia="宋体" w:cs="宋体"/>
                <w:b/>
                <w:bCs/>
                <w:color w:val="000000"/>
                <w:highlight w:val="none"/>
              </w:rPr>
            </w:pPr>
          </w:p>
        </w:tc>
        <w:tc>
          <w:tcPr>
            <w:tcW w:w="1160" w:type="dxa"/>
            <w:noWrap/>
            <w:tcMar>
              <w:top w:w="20" w:type="dxa"/>
              <w:left w:w="20" w:type="dxa"/>
              <w:bottom w:w="0" w:type="dxa"/>
              <w:right w:w="20" w:type="dxa"/>
            </w:tcMar>
            <w:vAlign w:val="center"/>
          </w:tcPr>
          <w:p w14:paraId="7937E00B">
            <w:pPr>
              <w:spacing w:line="440" w:lineRule="exact"/>
              <w:jc w:val="center"/>
              <w:rPr>
                <w:rFonts w:hint="eastAsia" w:ascii="宋体" w:hAnsi="宋体" w:eastAsia="宋体" w:cs="宋体"/>
                <w:b/>
                <w:bCs/>
                <w:color w:val="000000"/>
                <w:highlight w:val="none"/>
              </w:rPr>
            </w:pPr>
          </w:p>
        </w:tc>
        <w:tc>
          <w:tcPr>
            <w:tcW w:w="1009" w:type="dxa"/>
            <w:noWrap/>
            <w:tcMar>
              <w:top w:w="20" w:type="dxa"/>
              <w:left w:w="20" w:type="dxa"/>
              <w:bottom w:w="0" w:type="dxa"/>
              <w:right w:w="20" w:type="dxa"/>
            </w:tcMar>
            <w:vAlign w:val="center"/>
          </w:tcPr>
          <w:p w14:paraId="7AA63DA2">
            <w:pPr>
              <w:spacing w:line="440" w:lineRule="exact"/>
              <w:jc w:val="center"/>
              <w:rPr>
                <w:rFonts w:hint="eastAsia" w:ascii="宋体" w:hAnsi="宋体" w:eastAsia="宋体" w:cs="宋体"/>
                <w:b/>
                <w:bCs/>
                <w:color w:val="000000"/>
                <w:highlight w:val="none"/>
              </w:rPr>
            </w:pPr>
          </w:p>
        </w:tc>
        <w:tc>
          <w:tcPr>
            <w:tcW w:w="954" w:type="dxa"/>
            <w:noWrap w:val="0"/>
            <w:vAlign w:val="center"/>
          </w:tcPr>
          <w:p w14:paraId="51CEEDC2">
            <w:pPr>
              <w:spacing w:line="440" w:lineRule="exact"/>
              <w:jc w:val="center"/>
              <w:rPr>
                <w:rFonts w:hint="eastAsia" w:ascii="宋体" w:hAnsi="宋体" w:eastAsia="宋体" w:cs="宋体"/>
                <w:b/>
                <w:bCs/>
                <w:color w:val="000000"/>
                <w:highlight w:val="none"/>
              </w:rPr>
            </w:pPr>
          </w:p>
        </w:tc>
      </w:tr>
      <w:tr w14:paraId="511A1E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86" w:hRule="atLeast"/>
          <w:jc w:val="center"/>
        </w:trPr>
        <w:tc>
          <w:tcPr>
            <w:tcW w:w="625" w:type="dxa"/>
            <w:noWrap/>
            <w:tcMar>
              <w:top w:w="20" w:type="dxa"/>
              <w:left w:w="20" w:type="dxa"/>
              <w:bottom w:w="0" w:type="dxa"/>
              <w:right w:w="20" w:type="dxa"/>
            </w:tcMar>
            <w:vAlign w:val="center"/>
          </w:tcPr>
          <w:p w14:paraId="237DA7E6">
            <w:pPr>
              <w:spacing w:line="440" w:lineRule="exact"/>
              <w:jc w:val="center"/>
              <w:rPr>
                <w:rFonts w:hint="eastAsia" w:ascii="宋体" w:hAnsi="宋体" w:eastAsia="宋体" w:cs="宋体"/>
                <w:b/>
                <w:bCs/>
                <w:color w:val="000000"/>
                <w:highlight w:val="none"/>
              </w:rPr>
            </w:pPr>
          </w:p>
        </w:tc>
        <w:tc>
          <w:tcPr>
            <w:tcW w:w="1128" w:type="dxa"/>
            <w:noWrap/>
            <w:tcMar>
              <w:top w:w="20" w:type="dxa"/>
              <w:left w:w="20" w:type="dxa"/>
              <w:bottom w:w="0" w:type="dxa"/>
              <w:right w:w="20" w:type="dxa"/>
            </w:tcMar>
            <w:vAlign w:val="center"/>
          </w:tcPr>
          <w:p w14:paraId="3D47CF2D">
            <w:pPr>
              <w:spacing w:line="440" w:lineRule="exact"/>
              <w:jc w:val="center"/>
              <w:rPr>
                <w:rFonts w:hint="eastAsia" w:ascii="宋体" w:hAnsi="宋体" w:eastAsia="宋体" w:cs="宋体"/>
                <w:b/>
                <w:bCs/>
                <w:color w:val="000000"/>
                <w:highlight w:val="none"/>
              </w:rPr>
            </w:pPr>
          </w:p>
        </w:tc>
        <w:tc>
          <w:tcPr>
            <w:tcW w:w="2142" w:type="dxa"/>
            <w:noWrap/>
            <w:tcMar>
              <w:top w:w="20" w:type="dxa"/>
              <w:left w:w="20" w:type="dxa"/>
              <w:bottom w:w="0" w:type="dxa"/>
              <w:right w:w="20" w:type="dxa"/>
            </w:tcMar>
            <w:vAlign w:val="center"/>
          </w:tcPr>
          <w:p w14:paraId="64679DD6">
            <w:pPr>
              <w:spacing w:line="440" w:lineRule="exact"/>
              <w:jc w:val="center"/>
              <w:rPr>
                <w:rFonts w:hint="eastAsia" w:ascii="宋体" w:hAnsi="宋体" w:eastAsia="宋体" w:cs="宋体"/>
                <w:b/>
                <w:bCs/>
                <w:color w:val="000000"/>
                <w:highlight w:val="none"/>
              </w:rPr>
            </w:pPr>
          </w:p>
        </w:tc>
        <w:tc>
          <w:tcPr>
            <w:tcW w:w="1348" w:type="dxa"/>
            <w:noWrap/>
            <w:tcMar>
              <w:top w:w="20" w:type="dxa"/>
              <w:left w:w="20" w:type="dxa"/>
              <w:bottom w:w="0" w:type="dxa"/>
              <w:right w:w="20" w:type="dxa"/>
            </w:tcMar>
            <w:vAlign w:val="center"/>
          </w:tcPr>
          <w:p w14:paraId="1F99BEE9">
            <w:pPr>
              <w:spacing w:line="440" w:lineRule="exact"/>
              <w:jc w:val="center"/>
              <w:rPr>
                <w:rFonts w:hint="eastAsia" w:ascii="宋体" w:hAnsi="宋体" w:eastAsia="宋体" w:cs="宋体"/>
                <w:b/>
                <w:bCs/>
                <w:color w:val="000000"/>
                <w:highlight w:val="none"/>
              </w:rPr>
            </w:pPr>
          </w:p>
        </w:tc>
        <w:tc>
          <w:tcPr>
            <w:tcW w:w="889" w:type="dxa"/>
            <w:noWrap/>
            <w:tcMar>
              <w:top w:w="20" w:type="dxa"/>
              <w:left w:w="20" w:type="dxa"/>
              <w:bottom w:w="0" w:type="dxa"/>
              <w:right w:w="20" w:type="dxa"/>
            </w:tcMar>
            <w:vAlign w:val="center"/>
          </w:tcPr>
          <w:p w14:paraId="7468A80A">
            <w:pPr>
              <w:spacing w:line="440" w:lineRule="exact"/>
              <w:jc w:val="center"/>
              <w:rPr>
                <w:rFonts w:hint="eastAsia" w:ascii="宋体" w:hAnsi="宋体" w:eastAsia="宋体" w:cs="宋体"/>
                <w:b/>
                <w:bCs/>
                <w:color w:val="000000"/>
                <w:highlight w:val="none"/>
              </w:rPr>
            </w:pPr>
          </w:p>
        </w:tc>
        <w:tc>
          <w:tcPr>
            <w:tcW w:w="1160" w:type="dxa"/>
            <w:noWrap/>
            <w:tcMar>
              <w:top w:w="20" w:type="dxa"/>
              <w:left w:w="20" w:type="dxa"/>
              <w:bottom w:w="0" w:type="dxa"/>
              <w:right w:w="20" w:type="dxa"/>
            </w:tcMar>
            <w:vAlign w:val="center"/>
          </w:tcPr>
          <w:p w14:paraId="0AFC9C0F">
            <w:pPr>
              <w:spacing w:line="440" w:lineRule="exact"/>
              <w:jc w:val="center"/>
              <w:rPr>
                <w:rFonts w:hint="eastAsia" w:ascii="宋体" w:hAnsi="宋体" w:eastAsia="宋体" w:cs="宋体"/>
                <w:b/>
                <w:bCs/>
                <w:color w:val="000000"/>
                <w:highlight w:val="none"/>
              </w:rPr>
            </w:pPr>
          </w:p>
        </w:tc>
        <w:tc>
          <w:tcPr>
            <w:tcW w:w="1009" w:type="dxa"/>
            <w:noWrap/>
            <w:tcMar>
              <w:top w:w="20" w:type="dxa"/>
              <w:left w:w="20" w:type="dxa"/>
              <w:bottom w:w="0" w:type="dxa"/>
              <w:right w:w="20" w:type="dxa"/>
            </w:tcMar>
            <w:vAlign w:val="center"/>
          </w:tcPr>
          <w:p w14:paraId="4C2769E0">
            <w:pPr>
              <w:spacing w:line="440" w:lineRule="exact"/>
              <w:jc w:val="center"/>
              <w:rPr>
                <w:rFonts w:hint="eastAsia" w:ascii="宋体" w:hAnsi="宋体" w:eastAsia="宋体" w:cs="宋体"/>
                <w:b/>
                <w:bCs/>
                <w:color w:val="000000"/>
                <w:highlight w:val="none"/>
              </w:rPr>
            </w:pPr>
          </w:p>
        </w:tc>
        <w:tc>
          <w:tcPr>
            <w:tcW w:w="954" w:type="dxa"/>
            <w:noWrap w:val="0"/>
            <w:vAlign w:val="center"/>
          </w:tcPr>
          <w:p w14:paraId="7B10C6A4">
            <w:pPr>
              <w:spacing w:line="440" w:lineRule="exact"/>
              <w:jc w:val="center"/>
              <w:rPr>
                <w:rFonts w:hint="eastAsia" w:ascii="宋体" w:hAnsi="宋体" w:eastAsia="宋体" w:cs="宋体"/>
                <w:b/>
                <w:bCs/>
                <w:color w:val="000000"/>
                <w:highlight w:val="none"/>
              </w:rPr>
            </w:pPr>
          </w:p>
        </w:tc>
      </w:tr>
      <w:tr w14:paraId="63C8545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86" w:hRule="atLeast"/>
          <w:jc w:val="center"/>
        </w:trPr>
        <w:tc>
          <w:tcPr>
            <w:tcW w:w="625" w:type="dxa"/>
            <w:noWrap/>
            <w:tcMar>
              <w:top w:w="20" w:type="dxa"/>
              <w:left w:w="20" w:type="dxa"/>
              <w:bottom w:w="0" w:type="dxa"/>
              <w:right w:w="20" w:type="dxa"/>
            </w:tcMar>
            <w:vAlign w:val="center"/>
          </w:tcPr>
          <w:p w14:paraId="6508EF92">
            <w:pPr>
              <w:spacing w:line="440" w:lineRule="exact"/>
              <w:jc w:val="center"/>
              <w:rPr>
                <w:rFonts w:hint="eastAsia" w:ascii="宋体" w:hAnsi="宋体" w:eastAsia="宋体" w:cs="宋体"/>
                <w:b/>
                <w:bCs/>
                <w:color w:val="000000"/>
                <w:highlight w:val="none"/>
              </w:rPr>
            </w:pPr>
          </w:p>
        </w:tc>
        <w:tc>
          <w:tcPr>
            <w:tcW w:w="1128" w:type="dxa"/>
            <w:noWrap/>
            <w:tcMar>
              <w:top w:w="20" w:type="dxa"/>
              <w:left w:w="20" w:type="dxa"/>
              <w:bottom w:w="0" w:type="dxa"/>
              <w:right w:w="20" w:type="dxa"/>
            </w:tcMar>
            <w:vAlign w:val="center"/>
          </w:tcPr>
          <w:p w14:paraId="547F9AC7">
            <w:pPr>
              <w:spacing w:line="440" w:lineRule="exact"/>
              <w:jc w:val="center"/>
              <w:rPr>
                <w:rFonts w:hint="eastAsia" w:ascii="宋体" w:hAnsi="宋体" w:eastAsia="宋体" w:cs="宋体"/>
                <w:b/>
                <w:bCs/>
                <w:color w:val="000000"/>
                <w:highlight w:val="none"/>
              </w:rPr>
            </w:pPr>
          </w:p>
        </w:tc>
        <w:tc>
          <w:tcPr>
            <w:tcW w:w="2142" w:type="dxa"/>
            <w:noWrap/>
            <w:tcMar>
              <w:top w:w="20" w:type="dxa"/>
              <w:left w:w="20" w:type="dxa"/>
              <w:bottom w:w="0" w:type="dxa"/>
              <w:right w:w="20" w:type="dxa"/>
            </w:tcMar>
            <w:vAlign w:val="center"/>
          </w:tcPr>
          <w:p w14:paraId="1A369AF1">
            <w:pPr>
              <w:spacing w:line="440" w:lineRule="exact"/>
              <w:jc w:val="center"/>
              <w:rPr>
                <w:rFonts w:hint="eastAsia" w:ascii="宋体" w:hAnsi="宋体" w:eastAsia="宋体" w:cs="宋体"/>
                <w:b/>
                <w:bCs/>
                <w:color w:val="000000"/>
                <w:highlight w:val="none"/>
              </w:rPr>
            </w:pPr>
          </w:p>
        </w:tc>
        <w:tc>
          <w:tcPr>
            <w:tcW w:w="1348" w:type="dxa"/>
            <w:noWrap/>
            <w:tcMar>
              <w:top w:w="20" w:type="dxa"/>
              <w:left w:w="20" w:type="dxa"/>
              <w:bottom w:w="0" w:type="dxa"/>
              <w:right w:w="20" w:type="dxa"/>
            </w:tcMar>
            <w:vAlign w:val="center"/>
          </w:tcPr>
          <w:p w14:paraId="54B9329A">
            <w:pPr>
              <w:spacing w:line="440" w:lineRule="exact"/>
              <w:jc w:val="center"/>
              <w:rPr>
                <w:rFonts w:hint="eastAsia" w:ascii="宋体" w:hAnsi="宋体" w:eastAsia="宋体" w:cs="宋体"/>
                <w:b/>
                <w:bCs/>
                <w:color w:val="000000"/>
                <w:highlight w:val="none"/>
              </w:rPr>
            </w:pPr>
          </w:p>
        </w:tc>
        <w:tc>
          <w:tcPr>
            <w:tcW w:w="889" w:type="dxa"/>
            <w:noWrap/>
            <w:tcMar>
              <w:top w:w="20" w:type="dxa"/>
              <w:left w:w="20" w:type="dxa"/>
              <w:bottom w:w="0" w:type="dxa"/>
              <w:right w:w="20" w:type="dxa"/>
            </w:tcMar>
            <w:vAlign w:val="center"/>
          </w:tcPr>
          <w:p w14:paraId="285CCE0D">
            <w:pPr>
              <w:spacing w:line="440" w:lineRule="exact"/>
              <w:jc w:val="center"/>
              <w:rPr>
                <w:rFonts w:hint="eastAsia" w:ascii="宋体" w:hAnsi="宋体" w:eastAsia="宋体" w:cs="宋体"/>
                <w:b/>
                <w:bCs/>
                <w:color w:val="000000"/>
                <w:highlight w:val="none"/>
              </w:rPr>
            </w:pPr>
          </w:p>
        </w:tc>
        <w:tc>
          <w:tcPr>
            <w:tcW w:w="1160" w:type="dxa"/>
            <w:noWrap/>
            <w:tcMar>
              <w:top w:w="20" w:type="dxa"/>
              <w:left w:w="20" w:type="dxa"/>
              <w:bottom w:w="0" w:type="dxa"/>
              <w:right w:w="20" w:type="dxa"/>
            </w:tcMar>
            <w:vAlign w:val="center"/>
          </w:tcPr>
          <w:p w14:paraId="6AD30ED8">
            <w:pPr>
              <w:spacing w:line="440" w:lineRule="exact"/>
              <w:jc w:val="center"/>
              <w:rPr>
                <w:rFonts w:hint="eastAsia" w:ascii="宋体" w:hAnsi="宋体" w:eastAsia="宋体" w:cs="宋体"/>
                <w:b/>
                <w:bCs/>
                <w:color w:val="000000"/>
                <w:highlight w:val="none"/>
              </w:rPr>
            </w:pPr>
          </w:p>
        </w:tc>
        <w:tc>
          <w:tcPr>
            <w:tcW w:w="1009" w:type="dxa"/>
            <w:noWrap/>
            <w:tcMar>
              <w:top w:w="20" w:type="dxa"/>
              <w:left w:w="20" w:type="dxa"/>
              <w:bottom w:w="0" w:type="dxa"/>
              <w:right w:w="20" w:type="dxa"/>
            </w:tcMar>
            <w:vAlign w:val="center"/>
          </w:tcPr>
          <w:p w14:paraId="63239DBE">
            <w:pPr>
              <w:spacing w:line="440" w:lineRule="exact"/>
              <w:jc w:val="center"/>
              <w:rPr>
                <w:rFonts w:hint="eastAsia" w:ascii="宋体" w:hAnsi="宋体" w:eastAsia="宋体" w:cs="宋体"/>
                <w:b/>
                <w:bCs/>
                <w:color w:val="000000"/>
                <w:highlight w:val="none"/>
              </w:rPr>
            </w:pPr>
          </w:p>
        </w:tc>
        <w:tc>
          <w:tcPr>
            <w:tcW w:w="954" w:type="dxa"/>
            <w:noWrap w:val="0"/>
            <w:vAlign w:val="center"/>
          </w:tcPr>
          <w:p w14:paraId="3CBAC129">
            <w:pPr>
              <w:spacing w:line="440" w:lineRule="exact"/>
              <w:jc w:val="center"/>
              <w:rPr>
                <w:rFonts w:hint="eastAsia" w:ascii="宋体" w:hAnsi="宋体" w:eastAsia="宋体" w:cs="宋体"/>
                <w:b/>
                <w:bCs/>
                <w:color w:val="000000"/>
                <w:highlight w:val="none"/>
              </w:rPr>
            </w:pPr>
          </w:p>
        </w:tc>
      </w:tr>
      <w:tr w14:paraId="5F32E01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86" w:hRule="atLeast"/>
          <w:jc w:val="center"/>
        </w:trPr>
        <w:tc>
          <w:tcPr>
            <w:tcW w:w="625" w:type="dxa"/>
            <w:noWrap/>
            <w:tcMar>
              <w:top w:w="20" w:type="dxa"/>
              <w:left w:w="20" w:type="dxa"/>
              <w:bottom w:w="0" w:type="dxa"/>
              <w:right w:w="20" w:type="dxa"/>
            </w:tcMar>
            <w:vAlign w:val="center"/>
          </w:tcPr>
          <w:p w14:paraId="2C1D9C94">
            <w:pPr>
              <w:spacing w:line="440" w:lineRule="exact"/>
              <w:jc w:val="center"/>
              <w:rPr>
                <w:rFonts w:hint="eastAsia" w:ascii="宋体" w:hAnsi="宋体" w:eastAsia="宋体" w:cs="宋体"/>
                <w:b/>
                <w:bCs/>
                <w:color w:val="000000"/>
                <w:highlight w:val="none"/>
              </w:rPr>
            </w:pPr>
          </w:p>
        </w:tc>
        <w:tc>
          <w:tcPr>
            <w:tcW w:w="1128" w:type="dxa"/>
            <w:noWrap/>
            <w:tcMar>
              <w:top w:w="20" w:type="dxa"/>
              <w:left w:w="20" w:type="dxa"/>
              <w:bottom w:w="0" w:type="dxa"/>
              <w:right w:w="20" w:type="dxa"/>
            </w:tcMar>
            <w:vAlign w:val="center"/>
          </w:tcPr>
          <w:p w14:paraId="30824495">
            <w:pPr>
              <w:spacing w:line="440" w:lineRule="exact"/>
              <w:jc w:val="center"/>
              <w:rPr>
                <w:rFonts w:hint="eastAsia" w:ascii="宋体" w:hAnsi="宋体" w:eastAsia="宋体" w:cs="宋体"/>
                <w:b/>
                <w:bCs/>
                <w:color w:val="000000"/>
                <w:highlight w:val="none"/>
              </w:rPr>
            </w:pPr>
          </w:p>
        </w:tc>
        <w:tc>
          <w:tcPr>
            <w:tcW w:w="2142" w:type="dxa"/>
            <w:noWrap/>
            <w:tcMar>
              <w:top w:w="20" w:type="dxa"/>
              <w:left w:w="20" w:type="dxa"/>
              <w:bottom w:w="0" w:type="dxa"/>
              <w:right w:w="20" w:type="dxa"/>
            </w:tcMar>
            <w:vAlign w:val="center"/>
          </w:tcPr>
          <w:p w14:paraId="7BC01C54">
            <w:pPr>
              <w:spacing w:line="440" w:lineRule="exact"/>
              <w:jc w:val="center"/>
              <w:rPr>
                <w:rFonts w:hint="eastAsia" w:ascii="宋体" w:hAnsi="宋体" w:eastAsia="宋体" w:cs="宋体"/>
                <w:b/>
                <w:bCs/>
                <w:color w:val="000000"/>
                <w:highlight w:val="none"/>
              </w:rPr>
            </w:pPr>
          </w:p>
        </w:tc>
        <w:tc>
          <w:tcPr>
            <w:tcW w:w="1348" w:type="dxa"/>
            <w:noWrap/>
            <w:tcMar>
              <w:top w:w="20" w:type="dxa"/>
              <w:left w:w="20" w:type="dxa"/>
              <w:bottom w:w="0" w:type="dxa"/>
              <w:right w:w="20" w:type="dxa"/>
            </w:tcMar>
            <w:vAlign w:val="center"/>
          </w:tcPr>
          <w:p w14:paraId="63DADF08">
            <w:pPr>
              <w:spacing w:line="440" w:lineRule="exact"/>
              <w:jc w:val="center"/>
              <w:rPr>
                <w:rFonts w:hint="eastAsia" w:ascii="宋体" w:hAnsi="宋体" w:eastAsia="宋体" w:cs="宋体"/>
                <w:b/>
                <w:bCs/>
                <w:color w:val="000000"/>
                <w:highlight w:val="none"/>
              </w:rPr>
            </w:pPr>
          </w:p>
        </w:tc>
        <w:tc>
          <w:tcPr>
            <w:tcW w:w="889" w:type="dxa"/>
            <w:noWrap/>
            <w:tcMar>
              <w:top w:w="20" w:type="dxa"/>
              <w:left w:w="20" w:type="dxa"/>
              <w:bottom w:w="0" w:type="dxa"/>
              <w:right w:w="20" w:type="dxa"/>
            </w:tcMar>
            <w:vAlign w:val="center"/>
          </w:tcPr>
          <w:p w14:paraId="38CD68E1">
            <w:pPr>
              <w:spacing w:line="440" w:lineRule="exact"/>
              <w:jc w:val="center"/>
              <w:rPr>
                <w:rFonts w:hint="eastAsia" w:ascii="宋体" w:hAnsi="宋体" w:eastAsia="宋体" w:cs="宋体"/>
                <w:b/>
                <w:bCs/>
                <w:color w:val="000000"/>
                <w:highlight w:val="none"/>
              </w:rPr>
            </w:pPr>
          </w:p>
        </w:tc>
        <w:tc>
          <w:tcPr>
            <w:tcW w:w="1160" w:type="dxa"/>
            <w:noWrap/>
            <w:tcMar>
              <w:top w:w="20" w:type="dxa"/>
              <w:left w:w="20" w:type="dxa"/>
              <w:bottom w:w="0" w:type="dxa"/>
              <w:right w:w="20" w:type="dxa"/>
            </w:tcMar>
            <w:vAlign w:val="center"/>
          </w:tcPr>
          <w:p w14:paraId="5629009A">
            <w:pPr>
              <w:spacing w:line="440" w:lineRule="exact"/>
              <w:jc w:val="center"/>
              <w:rPr>
                <w:rFonts w:hint="eastAsia" w:ascii="宋体" w:hAnsi="宋体" w:eastAsia="宋体" w:cs="宋体"/>
                <w:b/>
                <w:bCs/>
                <w:color w:val="000000"/>
                <w:highlight w:val="none"/>
              </w:rPr>
            </w:pPr>
          </w:p>
        </w:tc>
        <w:tc>
          <w:tcPr>
            <w:tcW w:w="1009" w:type="dxa"/>
            <w:noWrap/>
            <w:tcMar>
              <w:top w:w="20" w:type="dxa"/>
              <w:left w:w="20" w:type="dxa"/>
              <w:bottom w:w="0" w:type="dxa"/>
              <w:right w:w="20" w:type="dxa"/>
            </w:tcMar>
            <w:vAlign w:val="center"/>
          </w:tcPr>
          <w:p w14:paraId="367DFF10">
            <w:pPr>
              <w:spacing w:line="440" w:lineRule="exact"/>
              <w:jc w:val="center"/>
              <w:rPr>
                <w:rFonts w:hint="eastAsia" w:ascii="宋体" w:hAnsi="宋体" w:eastAsia="宋体" w:cs="宋体"/>
                <w:b/>
                <w:bCs/>
                <w:color w:val="000000"/>
                <w:highlight w:val="none"/>
              </w:rPr>
            </w:pPr>
          </w:p>
        </w:tc>
        <w:tc>
          <w:tcPr>
            <w:tcW w:w="954" w:type="dxa"/>
            <w:noWrap w:val="0"/>
            <w:vAlign w:val="center"/>
          </w:tcPr>
          <w:p w14:paraId="384B1B20">
            <w:pPr>
              <w:spacing w:line="440" w:lineRule="exact"/>
              <w:jc w:val="center"/>
              <w:rPr>
                <w:rFonts w:hint="eastAsia" w:ascii="宋体" w:hAnsi="宋体" w:eastAsia="宋体" w:cs="宋体"/>
                <w:b/>
                <w:bCs/>
                <w:color w:val="000000"/>
                <w:highlight w:val="none"/>
              </w:rPr>
            </w:pPr>
          </w:p>
        </w:tc>
      </w:tr>
      <w:tr w14:paraId="7829E22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86" w:hRule="atLeast"/>
          <w:jc w:val="center"/>
        </w:trPr>
        <w:tc>
          <w:tcPr>
            <w:tcW w:w="625" w:type="dxa"/>
            <w:noWrap/>
            <w:tcMar>
              <w:top w:w="20" w:type="dxa"/>
              <w:left w:w="20" w:type="dxa"/>
              <w:bottom w:w="0" w:type="dxa"/>
              <w:right w:w="20" w:type="dxa"/>
            </w:tcMar>
            <w:vAlign w:val="center"/>
          </w:tcPr>
          <w:p w14:paraId="7F8D2094">
            <w:pPr>
              <w:spacing w:line="440" w:lineRule="exact"/>
              <w:jc w:val="center"/>
              <w:rPr>
                <w:rFonts w:hint="eastAsia" w:ascii="宋体" w:hAnsi="宋体" w:eastAsia="宋体" w:cs="宋体"/>
                <w:b/>
                <w:bCs/>
                <w:color w:val="000000"/>
                <w:highlight w:val="none"/>
              </w:rPr>
            </w:pPr>
          </w:p>
        </w:tc>
        <w:tc>
          <w:tcPr>
            <w:tcW w:w="1128" w:type="dxa"/>
            <w:noWrap/>
            <w:tcMar>
              <w:top w:w="20" w:type="dxa"/>
              <w:left w:w="20" w:type="dxa"/>
              <w:bottom w:w="0" w:type="dxa"/>
              <w:right w:w="20" w:type="dxa"/>
            </w:tcMar>
            <w:vAlign w:val="center"/>
          </w:tcPr>
          <w:p w14:paraId="6B715363">
            <w:pPr>
              <w:spacing w:line="440" w:lineRule="exact"/>
              <w:jc w:val="center"/>
              <w:rPr>
                <w:rFonts w:hint="eastAsia" w:ascii="宋体" w:hAnsi="宋体" w:eastAsia="宋体" w:cs="宋体"/>
                <w:b/>
                <w:bCs/>
                <w:color w:val="000000"/>
                <w:highlight w:val="none"/>
              </w:rPr>
            </w:pPr>
          </w:p>
        </w:tc>
        <w:tc>
          <w:tcPr>
            <w:tcW w:w="2142" w:type="dxa"/>
            <w:noWrap/>
            <w:tcMar>
              <w:top w:w="20" w:type="dxa"/>
              <w:left w:w="20" w:type="dxa"/>
              <w:bottom w:w="0" w:type="dxa"/>
              <w:right w:w="20" w:type="dxa"/>
            </w:tcMar>
            <w:vAlign w:val="center"/>
          </w:tcPr>
          <w:p w14:paraId="074E8714">
            <w:pPr>
              <w:spacing w:line="440" w:lineRule="exact"/>
              <w:jc w:val="center"/>
              <w:rPr>
                <w:rFonts w:hint="eastAsia" w:ascii="宋体" w:hAnsi="宋体" w:eastAsia="宋体" w:cs="宋体"/>
                <w:b/>
                <w:bCs/>
                <w:color w:val="000000"/>
                <w:highlight w:val="none"/>
              </w:rPr>
            </w:pPr>
          </w:p>
        </w:tc>
        <w:tc>
          <w:tcPr>
            <w:tcW w:w="1348" w:type="dxa"/>
            <w:noWrap/>
            <w:tcMar>
              <w:top w:w="20" w:type="dxa"/>
              <w:left w:w="20" w:type="dxa"/>
              <w:bottom w:w="0" w:type="dxa"/>
              <w:right w:w="20" w:type="dxa"/>
            </w:tcMar>
            <w:vAlign w:val="center"/>
          </w:tcPr>
          <w:p w14:paraId="3DAC324A">
            <w:pPr>
              <w:spacing w:line="440" w:lineRule="exact"/>
              <w:jc w:val="center"/>
              <w:rPr>
                <w:rFonts w:hint="eastAsia" w:ascii="宋体" w:hAnsi="宋体" w:eastAsia="宋体" w:cs="宋体"/>
                <w:b/>
                <w:bCs/>
                <w:color w:val="000000"/>
                <w:highlight w:val="none"/>
              </w:rPr>
            </w:pPr>
          </w:p>
        </w:tc>
        <w:tc>
          <w:tcPr>
            <w:tcW w:w="889" w:type="dxa"/>
            <w:noWrap/>
            <w:tcMar>
              <w:top w:w="20" w:type="dxa"/>
              <w:left w:w="20" w:type="dxa"/>
              <w:bottom w:w="0" w:type="dxa"/>
              <w:right w:w="20" w:type="dxa"/>
            </w:tcMar>
            <w:vAlign w:val="center"/>
          </w:tcPr>
          <w:p w14:paraId="2EAD861E">
            <w:pPr>
              <w:spacing w:line="440" w:lineRule="exact"/>
              <w:jc w:val="center"/>
              <w:rPr>
                <w:rFonts w:hint="eastAsia" w:ascii="宋体" w:hAnsi="宋体" w:eastAsia="宋体" w:cs="宋体"/>
                <w:b/>
                <w:bCs/>
                <w:color w:val="000000"/>
                <w:highlight w:val="none"/>
              </w:rPr>
            </w:pPr>
          </w:p>
        </w:tc>
        <w:tc>
          <w:tcPr>
            <w:tcW w:w="1160" w:type="dxa"/>
            <w:noWrap/>
            <w:tcMar>
              <w:top w:w="20" w:type="dxa"/>
              <w:left w:w="20" w:type="dxa"/>
              <w:bottom w:w="0" w:type="dxa"/>
              <w:right w:w="20" w:type="dxa"/>
            </w:tcMar>
            <w:vAlign w:val="center"/>
          </w:tcPr>
          <w:p w14:paraId="3F02A7EE">
            <w:pPr>
              <w:spacing w:line="440" w:lineRule="exact"/>
              <w:jc w:val="center"/>
              <w:rPr>
                <w:rFonts w:hint="eastAsia" w:ascii="宋体" w:hAnsi="宋体" w:eastAsia="宋体" w:cs="宋体"/>
                <w:b/>
                <w:bCs/>
                <w:color w:val="000000"/>
                <w:highlight w:val="none"/>
              </w:rPr>
            </w:pPr>
          </w:p>
        </w:tc>
        <w:tc>
          <w:tcPr>
            <w:tcW w:w="1009" w:type="dxa"/>
            <w:noWrap/>
            <w:tcMar>
              <w:top w:w="20" w:type="dxa"/>
              <w:left w:w="20" w:type="dxa"/>
              <w:bottom w:w="0" w:type="dxa"/>
              <w:right w:w="20" w:type="dxa"/>
            </w:tcMar>
            <w:vAlign w:val="center"/>
          </w:tcPr>
          <w:p w14:paraId="331269B9">
            <w:pPr>
              <w:spacing w:line="440" w:lineRule="exact"/>
              <w:jc w:val="center"/>
              <w:rPr>
                <w:rFonts w:hint="eastAsia" w:ascii="宋体" w:hAnsi="宋体" w:eastAsia="宋体" w:cs="宋体"/>
                <w:b/>
                <w:bCs/>
                <w:color w:val="000000"/>
                <w:highlight w:val="none"/>
              </w:rPr>
            </w:pPr>
          </w:p>
        </w:tc>
        <w:tc>
          <w:tcPr>
            <w:tcW w:w="954" w:type="dxa"/>
            <w:noWrap w:val="0"/>
            <w:vAlign w:val="center"/>
          </w:tcPr>
          <w:p w14:paraId="51AD3307">
            <w:pPr>
              <w:spacing w:line="440" w:lineRule="exact"/>
              <w:jc w:val="center"/>
              <w:rPr>
                <w:rFonts w:hint="eastAsia" w:ascii="宋体" w:hAnsi="宋体" w:eastAsia="宋体" w:cs="宋体"/>
                <w:b/>
                <w:bCs/>
                <w:color w:val="000000"/>
                <w:highlight w:val="none"/>
              </w:rPr>
            </w:pPr>
          </w:p>
        </w:tc>
      </w:tr>
      <w:tr w14:paraId="1ECD2A7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863" w:hRule="atLeast"/>
          <w:jc w:val="center"/>
        </w:trPr>
        <w:tc>
          <w:tcPr>
            <w:tcW w:w="8301" w:type="dxa"/>
            <w:gridSpan w:val="7"/>
            <w:noWrap/>
            <w:tcMar>
              <w:top w:w="20" w:type="dxa"/>
              <w:left w:w="20" w:type="dxa"/>
              <w:bottom w:w="0" w:type="dxa"/>
              <w:right w:w="20" w:type="dxa"/>
            </w:tcMar>
            <w:vAlign w:val="center"/>
          </w:tcPr>
          <w:p w14:paraId="2DFF2FE3">
            <w:pPr>
              <w:spacing w:line="440" w:lineRule="exact"/>
              <w:jc w:val="center"/>
              <w:rPr>
                <w:rFonts w:hint="eastAsia" w:ascii="宋体" w:hAnsi="宋体" w:eastAsia="宋体" w:cs="宋体"/>
                <w:b/>
                <w:bCs/>
                <w:color w:val="000000"/>
                <w:highlight w:val="none"/>
              </w:rPr>
            </w:pPr>
            <w:r>
              <w:rPr>
                <w:rFonts w:hint="eastAsia" w:ascii="宋体" w:hAnsi="宋体" w:eastAsia="宋体" w:cs="宋体"/>
                <w:b/>
                <w:bCs/>
                <w:highlight w:val="none"/>
              </w:rPr>
              <w:t>总计</w:t>
            </w:r>
          </w:p>
        </w:tc>
        <w:tc>
          <w:tcPr>
            <w:tcW w:w="954" w:type="dxa"/>
            <w:noWrap w:val="0"/>
            <w:vAlign w:val="center"/>
          </w:tcPr>
          <w:p w14:paraId="74CC4A4B">
            <w:pPr>
              <w:spacing w:line="440" w:lineRule="exact"/>
              <w:jc w:val="center"/>
              <w:rPr>
                <w:rFonts w:hint="eastAsia" w:ascii="宋体" w:hAnsi="宋体" w:eastAsia="宋体" w:cs="宋体"/>
                <w:b/>
                <w:bCs/>
                <w:color w:val="000000"/>
                <w:highlight w:val="none"/>
              </w:rPr>
            </w:pPr>
          </w:p>
        </w:tc>
      </w:tr>
    </w:tbl>
    <w:p w14:paraId="445EA070">
      <w:pPr>
        <w:widowControl w:val="0"/>
        <w:spacing w:line="400" w:lineRule="exact"/>
        <w:rPr>
          <w:rFonts w:hint="eastAsia" w:ascii="宋体" w:hAnsi="宋体" w:eastAsia="宋体" w:cs="宋体"/>
          <w:b/>
          <w:bCs/>
          <w:color w:val="000000"/>
          <w:sz w:val="24"/>
          <w:szCs w:val="24"/>
          <w:highlight w:val="none"/>
          <w:lang w:val="zh-CN"/>
        </w:rPr>
      </w:pPr>
      <w:r>
        <w:rPr>
          <w:rFonts w:hint="eastAsia" w:ascii="宋体" w:hAnsi="宋体" w:eastAsia="宋体" w:cs="宋体"/>
          <w:b/>
          <w:bCs/>
          <w:color w:val="000000"/>
          <w:sz w:val="24"/>
          <w:szCs w:val="24"/>
          <w:highlight w:val="none"/>
          <w:lang w:val="zh-CN"/>
        </w:rPr>
        <w:t>说明：1</w:t>
      </w:r>
      <w:r>
        <w:rPr>
          <w:rFonts w:hint="eastAsia" w:ascii="宋体" w:hAnsi="宋体" w:eastAsia="宋体" w:cs="宋体"/>
          <w:b/>
          <w:bCs/>
          <w:color w:val="000000"/>
          <w:sz w:val="24"/>
          <w:szCs w:val="24"/>
          <w:highlight w:val="none"/>
        </w:rPr>
        <w:t>．</w:t>
      </w:r>
      <w:r>
        <w:rPr>
          <w:rFonts w:hint="eastAsia" w:ascii="宋体" w:hAnsi="宋体" w:eastAsia="宋体" w:cs="宋体"/>
          <w:b/>
          <w:bCs/>
          <w:color w:val="000000"/>
          <w:sz w:val="24"/>
          <w:szCs w:val="24"/>
          <w:highlight w:val="none"/>
          <w:lang w:val="zh-CN"/>
        </w:rPr>
        <w:t>此表由供应商按项目情况自行列支，仅作参考。</w:t>
      </w:r>
    </w:p>
    <w:p w14:paraId="40444391">
      <w:pPr>
        <w:widowControl w:val="0"/>
        <w:spacing w:line="400" w:lineRule="exac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zh-CN"/>
        </w:rPr>
        <w:t>2</w:t>
      </w:r>
      <w:r>
        <w:rPr>
          <w:rFonts w:hint="eastAsia" w:ascii="宋体" w:hAnsi="宋体" w:eastAsia="宋体" w:cs="宋体"/>
          <w:b/>
          <w:bCs/>
          <w:color w:val="000000"/>
          <w:sz w:val="24"/>
          <w:szCs w:val="24"/>
          <w:highlight w:val="none"/>
        </w:rPr>
        <w:t>．</w:t>
      </w:r>
      <w:r>
        <w:rPr>
          <w:rFonts w:hint="eastAsia" w:ascii="宋体" w:hAnsi="宋体" w:eastAsia="宋体" w:cs="宋体"/>
          <w:b/>
          <w:bCs/>
          <w:color w:val="000000"/>
          <w:sz w:val="24"/>
          <w:szCs w:val="24"/>
          <w:highlight w:val="none"/>
          <w:lang w:val="zh-CN"/>
        </w:rPr>
        <w:t>表格空间不足时，可自行扩展。</w:t>
      </w:r>
    </w:p>
    <w:p w14:paraId="0073280F">
      <w:pPr>
        <w:pStyle w:val="9"/>
        <w:spacing w:line="336" w:lineRule="auto"/>
        <w:rPr>
          <w:rFonts w:hint="eastAsia" w:ascii="宋体" w:hAnsi="宋体" w:eastAsia="宋体" w:cs="宋体"/>
          <w:sz w:val="28"/>
          <w:szCs w:val="28"/>
          <w:highlight w:val="none"/>
        </w:rPr>
      </w:pPr>
    </w:p>
    <w:p w14:paraId="319EE065">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lang w:eastAsia="zh-CN"/>
        </w:rPr>
        <w:t>供应商</w:t>
      </w:r>
      <w:r>
        <w:rPr>
          <w:rFonts w:hint="eastAsia" w:ascii="宋体" w:hAnsi="宋体" w:eastAsia="宋体" w:cs="宋体"/>
          <w:color w:val="auto"/>
          <w:sz w:val="24"/>
          <w:highlight w:val="none"/>
          <w:shd w:val="clear" w:color="auto" w:fill="auto"/>
        </w:rPr>
        <w:t>全称：</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（公章）</w:t>
      </w:r>
    </w:p>
    <w:p w14:paraId="3F6F8D13">
      <w:pPr>
        <w:kinsoku w:val="0"/>
        <w:spacing w:line="500" w:lineRule="exact"/>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法定代表人或被授权人（签字或盖章）：</w:t>
      </w:r>
      <w:r>
        <w:rPr>
          <w:rFonts w:hint="eastAsia" w:ascii="宋体" w:hAnsi="宋体" w:eastAsia="宋体" w:cs="宋体"/>
          <w:color w:val="auto"/>
          <w:sz w:val="24"/>
          <w:highlight w:val="none"/>
          <w:u w:val="single"/>
          <w:shd w:val="clear" w:color="auto" w:fill="auto"/>
        </w:rPr>
        <w:t xml:space="preserve">                   </w:t>
      </w:r>
    </w:p>
    <w:p w14:paraId="45D46AEC">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日   期：</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年   月   日</w:t>
      </w:r>
    </w:p>
    <w:p w14:paraId="56B32177">
      <w:pPr>
        <w:widowControl w:val="0"/>
        <w:ind w:firstLine="480" w:firstLineChars="200"/>
        <w:rPr>
          <w:rFonts w:hint="eastAsia" w:ascii="宋体" w:hAnsi="宋体" w:eastAsia="宋体" w:cs="宋体"/>
          <w:color w:val="000000"/>
          <w:sz w:val="24"/>
          <w:szCs w:val="24"/>
          <w:highlight w:val="none"/>
        </w:rPr>
      </w:pPr>
    </w:p>
    <w:p w14:paraId="120AF1A7">
      <w:pPr>
        <w:widowControl w:val="0"/>
        <w:ind w:left="210" w:leftChars="100"/>
        <w:jc w:val="center"/>
        <w:outlineLvl w:val="0"/>
        <w:rPr>
          <w:rFonts w:hint="eastAsia" w:ascii="宋体" w:hAnsi="宋体" w:eastAsia="宋体" w:cs="宋体"/>
          <w:b/>
          <w:bCs/>
          <w:color w:val="000000"/>
          <w:sz w:val="36"/>
          <w:szCs w:val="21"/>
          <w:highlight w:val="none"/>
        </w:rPr>
      </w:pPr>
      <w:bookmarkStart w:id="173" w:name="_Toc22786"/>
      <w:bookmarkStart w:id="174" w:name="_Toc28453"/>
      <w:bookmarkStart w:id="175" w:name="_Toc19329"/>
      <w:bookmarkStart w:id="176" w:name="_Toc8635914"/>
      <w:bookmarkStart w:id="177" w:name="_Toc524683794"/>
      <w:bookmarkStart w:id="178" w:name="_Toc519191550"/>
      <w:bookmarkStart w:id="179" w:name="_Hlk5796706"/>
      <w:bookmarkStart w:id="180" w:name="_Toc523148971"/>
      <w:bookmarkStart w:id="181" w:name="_Toc458437949"/>
      <w:bookmarkStart w:id="182" w:name="_Hlk33481755"/>
      <w:bookmarkStart w:id="183" w:name="_Toc500142217"/>
      <w:bookmarkStart w:id="184" w:name="_Toc193187104"/>
      <w:bookmarkStart w:id="185" w:name="_Toc48995851"/>
      <w:bookmarkStart w:id="186" w:name="_Toc49019236"/>
      <w:bookmarkStart w:id="187" w:name="_Toc48791235"/>
      <w:bookmarkStart w:id="188" w:name="_Toc193126888"/>
      <w:bookmarkStart w:id="189" w:name="_Toc47262069"/>
      <w:bookmarkStart w:id="190" w:name="_Toc49019497"/>
      <w:bookmarkStart w:id="191" w:name="_Toc194663925"/>
      <w:bookmarkStart w:id="192" w:name="_Toc47418938"/>
      <w:bookmarkStart w:id="193" w:name="_Toc47261885"/>
      <w:bookmarkStart w:id="194" w:name="_Toc188808839"/>
      <w:bookmarkStart w:id="195" w:name="_Toc458437950"/>
      <w:bookmarkStart w:id="196" w:name="_Toc47418255"/>
      <w:bookmarkStart w:id="197" w:name="_Toc47418731"/>
      <w:bookmarkStart w:id="198" w:name="_Toc47261690"/>
      <w:r>
        <w:rPr>
          <w:rFonts w:hint="eastAsia" w:ascii="宋体" w:hAnsi="宋体" w:eastAsia="宋体" w:cs="宋体"/>
          <w:b/>
          <w:bCs/>
          <w:color w:val="000000"/>
          <w:sz w:val="32"/>
          <w:szCs w:val="32"/>
          <w:highlight w:val="none"/>
          <w:lang w:eastAsia="zh-CN"/>
        </w:rPr>
        <w:br w:type="page"/>
      </w:r>
      <w:r>
        <w:rPr>
          <w:rFonts w:hint="eastAsia" w:ascii="宋体" w:hAnsi="宋体" w:eastAsia="宋体" w:cs="宋体"/>
          <w:b/>
          <w:bCs/>
          <w:color w:val="000000"/>
          <w:sz w:val="32"/>
          <w:szCs w:val="32"/>
          <w:highlight w:val="none"/>
          <w:lang w:eastAsia="zh-CN"/>
        </w:rPr>
        <w:t>（</w:t>
      </w:r>
      <w:r>
        <w:rPr>
          <w:rFonts w:hint="eastAsia" w:ascii="宋体" w:hAnsi="宋体" w:eastAsia="宋体" w:cs="宋体"/>
          <w:b/>
          <w:bCs/>
          <w:color w:val="000000"/>
          <w:sz w:val="32"/>
          <w:szCs w:val="32"/>
          <w:highlight w:val="none"/>
          <w:lang w:val="en-US" w:eastAsia="zh-CN"/>
        </w:rPr>
        <w:t>2</w:t>
      </w:r>
      <w:r>
        <w:rPr>
          <w:rFonts w:hint="eastAsia" w:ascii="宋体" w:hAnsi="宋体" w:eastAsia="宋体" w:cs="宋体"/>
          <w:b/>
          <w:bCs/>
          <w:color w:val="000000"/>
          <w:sz w:val="32"/>
          <w:szCs w:val="32"/>
          <w:highlight w:val="none"/>
          <w:lang w:eastAsia="zh-CN"/>
        </w:rPr>
        <w:t>）</w:t>
      </w:r>
      <w:r>
        <w:rPr>
          <w:rFonts w:hint="eastAsia" w:ascii="宋体" w:hAnsi="宋体" w:eastAsia="宋体" w:cs="宋体"/>
          <w:b/>
          <w:bCs/>
          <w:color w:val="000000"/>
          <w:sz w:val="32"/>
          <w:szCs w:val="32"/>
          <w:highlight w:val="none"/>
          <w:lang w:val="en-US" w:eastAsia="zh-CN"/>
        </w:rPr>
        <w:t>技术</w:t>
      </w:r>
      <w:r>
        <w:rPr>
          <w:rFonts w:hint="eastAsia" w:ascii="宋体" w:hAnsi="宋体" w:eastAsia="宋体" w:cs="宋体"/>
          <w:b/>
          <w:bCs/>
          <w:color w:val="000000"/>
          <w:sz w:val="32"/>
          <w:szCs w:val="32"/>
          <w:highlight w:val="none"/>
        </w:rPr>
        <w:t>要求响应偏离表</w:t>
      </w:r>
      <w:bookmarkEnd w:id="173"/>
      <w:bookmarkEnd w:id="174"/>
      <w:bookmarkEnd w:id="175"/>
    </w:p>
    <w:tbl>
      <w:tblPr>
        <w:tblStyle w:val="15"/>
        <w:tblW w:w="92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2"/>
        <w:gridCol w:w="2984"/>
        <w:gridCol w:w="2984"/>
        <w:gridCol w:w="1269"/>
        <w:gridCol w:w="1269"/>
      </w:tblGrid>
      <w:tr w14:paraId="57B56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2E5F3596">
            <w:pPr>
              <w:pStyle w:val="37"/>
              <w:spacing w:before="0" w:after="0" w:line="360" w:lineRule="auto"/>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序号</w:t>
            </w:r>
          </w:p>
        </w:tc>
        <w:tc>
          <w:tcPr>
            <w:tcW w:w="2984" w:type="dxa"/>
            <w:noWrap w:val="0"/>
            <w:vAlign w:val="center"/>
          </w:tcPr>
          <w:p w14:paraId="57F72EB2">
            <w:pPr>
              <w:pStyle w:val="37"/>
              <w:spacing w:before="0" w:after="0" w:line="360" w:lineRule="auto"/>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val="en-US" w:eastAsia="zh-CN"/>
              </w:rPr>
              <w:t>招标</w:t>
            </w:r>
            <w:r>
              <w:rPr>
                <w:rFonts w:hint="eastAsia" w:ascii="宋体" w:hAnsi="宋体" w:eastAsia="宋体" w:cs="宋体"/>
                <w:spacing w:val="1"/>
                <w:sz w:val="24"/>
                <w:szCs w:val="24"/>
                <w:highlight w:val="none"/>
                <w:lang w:eastAsia="zh-CN"/>
              </w:rPr>
              <w:t>文件要求内容</w:t>
            </w:r>
          </w:p>
        </w:tc>
        <w:tc>
          <w:tcPr>
            <w:tcW w:w="2984" w:type="dxa"/>
            <w:noWrap w:val="0"/>
            <w:vAlign w:val="center"/>
          </w:tcPr>
          <w:p w14:paraId="20E0062C">
            <w:pPr>
              <w:pStyle w:val="37"/>
              <w:spacing w:before="0" w:after="0" w:line="360" w:lineRule="auto"/>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val="en-US" w:eastAsia="zh-CN"/>
              </w:rPr>
              <w:t>投标</w:t>
            </w:r>
            <w:r>
              <w:rPr>
                <w:rFonts w:hint="eastAsia" w:ascii="宋体" w:hAnsi="宋体" w:eastAsia="宋体" w:cs="宋体"/>
                <w:spacing w:val="1"/>
                <w:sz w:val="24"/>
                <w:szCs w:val="24"/>
                <w:highlight w:val="none"/>
                <w:lang w:eastAsia="zh-CN"/>
              </w:rPr>
              <w:t>文件响应内容</w:t>
            </w:r>
          </w:p>
        </w:tc>
        <w:tc>
          <w:tcPr>
            <w:tcW w:w="1269" w:type="dxa"/>
            <w:noWrap w:val="0"/>
            <w:vAlign w:val="center"/>
          </w:tcPr>
          <w:p w14:paraId="1FB5B6E1">
            <w:pPr>
              <w:pStyle w:val="37"/>
              <w:spacing w:before="0" w:after="0" w:line="360" w:lineRule="auto"/>
              <w:jc w:val="center"/>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偏离情况</w:t>
            </w:r>
          </w:p>
        </w:tc>
        <w:tc>
          <w:tcPr>
            <w:tcW w:w="1269" w:type="dxa"/>
            <w:noWrap w:val="0"/>
            <w:vAlign w:val="center"/>
          </w:tcPr>
          <w:p w14:paraId="6B227AB1">
            <w:pPr>
              <w:pStyle w:val="37"/>
              <w:spacing w:before="0" w:after="0" w:line="360" w:lineRule="auto"/>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偏离说明</w:t>
            </w:r>
          </w:p>
        </w:tc>
      </w:tr>
      <w:tr w14:paraId="00762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01B6B7E5">
            <w:pPr>
              <w:pStyle w:val="37"/>
              <w:spacing w:before="0" w:after="0" w:line="221" w:lineRule="exact"/>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1</w:t>
            </w:r>
          </w:p>
        </w:tc>
        <w:tc>
          <w:tcPr>
            <w:tcW w:w="2984" w:type="dxa"/>
            <w:noWrap w:val="0"/>
            <w:vAlign w:val="center"/>
          </w:tcPr>
          <w:p w14:paraId="09A07F5E">
            <w:pPr>
              <w:pStyle w:val="37"/>
              <w:spacing w:before="0" w:after="0" w:line="221" w:lineRule="exact"/>
              <w:jc w:val="center"/>
              <w:rPr>
                <w:rFonts w:hint="eastAsia" w:ascii="宋体" w:hAnsi="宋体" w:eastAsia="宋体" w:cs="宋体"/>
                <w:spacing w:val="1"/>
                <w:sz w:val="24"/>
                <w:szCs w:val="24"/>
                <w:highlight w:val="none"/>
                <w:lang w:eastAsia="zh-CN"/>
              </w:rPr>
            </w:pPr>
          </w:p>
        </w:tc>
        <w:tc>
          <w:tcPr>
            <w:tcW w:w="2984" w:type="dxa"/>
            <w:noWrap w:val="0"/>
            <w:vAlign w:val="center"/>
          </w:tcPr>
          <w:p w14:paraId="17874BB3">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4AB2FB1F">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07DAA683">
            <w:pPr>
              <w:pStyle w:val="37"/>
              <w:spacing w:before="0" w:after="0" w:line="221" w:lineRule="exact"/>
              <w:jc w:val="center"/>
              <w:rPr>
                <w:rFonts w:hint="eastAsia" w:ascii="宋体" w:hAnsi="宋体" w:eastAsia="宋体" w:cs="宋体"/>
                <w:spacing w:val="1"/>
                <w:sz w:val="24"/>
                <w:szCs w:val="24"/>
                <w:highlight w:val="none"/>
                <w:lang w:eastAsia="zh-CN"/>
              </w:rPr>
            </w:pPr>
          </w:p>
        </w:tc>
      </w:tr>
      <w:tr w14:paraId="334FE9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6FD5F9D3">
            <w:pPr>
              <w:pStyle w:val="37"/>
              <w:spacing w:before="0" w:after="0" w:line="221" w:lineRule="exact"/>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2</w:t>
            </w:r>
          </w:p>
        </w:tc>
        <w:tc>
          <w:tcPr>
            <w:tcW w:w="2984" w:type="dxa"/>
            <w:noWrap w:val="0"/>
            <w:vAlign w:val="center"/>
          </w:tcPr>
          <w:p w14:paraId="65E07D92">
            <w:pPr>
              <w:pStyle w:val="37"/>
              <w:spacing w:before="0" w:after="0" w:line="221" w:lineRule="exact"/>
              <w:jc w:val="center"/>
              <w:rPr>
                <w:rFonts w:hint="eastAsia" w:ascii="宋体" w:hAnsi="宋体" w:eastAsia="宋体" w:cs="宋体"/>
                <w:spacing w:val="1"/>
                <w:sz w:val="24"/>
                <w:szCs w:val="24"/>
                <w:highlight w:val="none"/>
                <w:lang w:eastAsia="zh-CN"/>
              </w:rPr>
            </w:pPr>
          </w:p>
        </w:tc>
        <w:tc>
          <w:tcPr>
            <w:tcW w:w="2984" w:type="dxa"/>
            <w:noWrap w:val="0"/>
            <w:vAlign w:val="center"/>
          </w:tcPr>
          <w:p w14:paraId="0501D593">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36C8C44A">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0D33C6F8">
            <w:pPr>
              <w:pStyle w:val="37"/>
              <w:spacing w:before="0" w:after="0" w:line="221" w:lineRule="exact"/>
              <w:jc w:val="center"/>
              <w:rPr>
                <w:rFonts w:hint="eastAsia" w:ascii="宋体" w:hAnsi="宋体" w:eastAsia="宋体" w:cs="宋体"/>
                <w:spacing w:val="1"/>
                <w:sz w:val="24"/>
                <w:szCs w:val="24"/>
                <w:highlight w:val="none"/>
                <w:lang w:eastAsia="zh-CN"/>
              </w:rPr>
            </w:pPr>
          </w:p>
        </w:tc>
      </w:tr>
      <w:tr w14:paraId="3270CD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098CF8C9">
            <w:pPr>
              <w:pStyle w:val="37"/>
              <w:spacing w:before="0" w:after="0" w:line="221" w:lineRule="exact"/>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3</w:t>
            </w:r>
          </w:p>
        </w:tc>
        <w:tc>
          <w:tcPr>
            <w:tcW w:w="2984" w:type="dxa"/>
            <w:noWrap w:val="0"/>
            <w:vAlign w:val="center"/>
          </w:tcPr>
          <w:p w14:paraId="36543746">
            <w:pPr>
              <w:pStyle w:val="37"/>
              <w:spacing w:before="0" w:after="0" w:line="221" w:lineRule="exact"/>
              <w:jc w:val="center"/>
              <w:rPr>
                <w:rFonts w:hint="eastAsia" w:ascii="宋体" w:hAnsi="宋体" w:eastAsia="宋体" w:cs="宋体"/>
                <w:spacing w:val="1"/>
                <w:sz w:val="24"/>
                <w:szCs w:val="24"/>
                <w:highlight w:val="none"/>
                <w:lang w:eastAsia="zh-CN"/>
              </w:rPr>
            </w:pPr>
          </w:p>
        </w:tc>
        <w:tc>
          <w:tcPr>
            <w:tcW w:w="2984" w:type="dxa"/>
            <w:noWrap w:val="0"/>
            <w:vAlign w:val="center"/>
          </w:tcPr>
          <w:p w14:paraId="46DA03F0">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643ACB44">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7742D90B">
            <w:pPr>
              <w:pStyle w:val="37"/>
              <w:spacing w:before="0" w:after="0" w:line="221" w:lineRule="exact"/>
              <w:jc w:val="center"/>
              <w:rPr>
                <w:rFonts w:hint="eastAsia" w:ascii="宋体" w:hAnsi="宋体" w:eastAsia="宋体" w:cs="宋体"/>
                <w:spacing w:val="1"/>
                <w:sz w:val="24"/>
                <w:szCs w:val="24"/>
                <w:highlight w:val="none"/>
                <w:lang w:eastAsia="zh-CN"/>
              </w:rPr>
            </w:pPr>
          </w:p>
        </w:tc>
      </w:tr>
      <w:tr w14:paraId="43348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203FB462">
            <w:pPr>
              <w:pStyle w:val="37"/>
              <w:spacing w:before="0" w:after="0" w:line="221" w:lineRule="exact"/>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4</w:t>
            </w:r>
          </w:p>
        </w:tc>
        <w:tc>
          <w:tcPr>
            <w:tcW w:w="2984" w:type="dxa"/>
            <w:noWrap w:val="0"/>
            <w:vAlign w:val="center"/>
          </w:tcPr>
          <w:p w14:paraId="6398E849">
            <w:pPr>
              <w:pStyle w:val="37"/>
              <w:spacing w:before="0" w:after="0" w:line="221" w:lineRule="exact"/>
              <w:jc w:val="center"/>
              <w:rPr>
                <w:rFonts w:hint="eastAsia" w:ascii="宋体" w:hAnsi="宋体" w:eastAsia="宋体" w:cs="宋体"/>
                <w:spacing w:val="1"/>
                <w:sz w:val="24"/>
                <w:szCs w:val="24"/>
                <w:highlight w:val="none"/>
                <w:lang w:eastAsia="zh-CN"/>
              </w:rPr>
            </w:pPr>
          </w:p>
        </w:tc>
        <w:tc>
          <w:tcPr>
            <w:tcW w:w="2984" w:type="dxa"/>
            <w:noWrap w:val="0"/>
            <w:vAlign w:val="center"/>
          </w:tcPr>
          <w:p w14:paraId="6EC40599">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5B531544">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52275076">
            <w:pPr>
              <w:pStyle w:val="37"/>
              <w:spacing w:before="0" w:after="0" w:line="221" w:lineRule="exact"/>
              <w:jc w:val="center"/>
              <w:rPr>
                <w:rFonts w:hint="eastAsia" w:ascii="宋体" w:hAnsi="宋体" w:eastAsia="宋体" w:cs="宋体"/>
                <w:spacing w:val="1"/>
                <w:sz w:val="24"/>
                <w:szCs w:val="24"/>
                <w:highlight w:val="none"/>
                <w:lang w:eastAsia="zh-CN"/>
              </w:rPr>
            </w:pPr>
          </w:p>
        </w:tc>
      </w:tr>
      <w:tr w14:paraId="4012D3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45873907">
            <w:pPr>
              <w:pStyle w:val="37"/>
              <w:spacing w:before="0" w:after="0" w:line="221" w:lineRule="exact"/>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5</w:t>
            </w:r>
          </w:p>
        </w:tc>
        <w:tc>
          <w:tcPr>
            <w:tcW w:w="2984" w:type="dxa"/>
            <w:noWrap w:val="0"/>
            <w:vAlign w:val="center"/>
          </w:tcPr>
          <w:p w14:paraId="24ACDA75">
            <w:pPr>
              <w:pStyle w:val="37"/>
              <w:spacing w:before="0" w:after="0" w:line="221" w:lineRule="exact"/>
              <w:jc w:val="center"/>
              <w:rPr>
                <w:rFonts w:hint="eastAsia" w:ascii="宋体" w:hAnsi="宋体" w:eastAsia="宋体" w:cs="宋体"/>
                <w:spacing w:val="1"/>
                <w:sz w:val="24"/>
                <w:szCs w:val="24"/>
                <w:highlight w:val="none"/>
                <w:lang w:eastAsia="zh-CN"/>
              </w:rPr>
            </w:pPr>
          </w:p>
        </w:tc>
        <w:tc>
          <w:tcPr>
            <w:tcW w:w="2984" w:type="dxa"/>
            <w:noWrap w:val="0"/>
            <w:vAlign w:val="center"/>
          </w:tcPr>
          <w:p w14:paraId="7A7FE98A">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2EECBEE0">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11947F1D">
            <w:pPr>
              <w:pStyle w:val="37"/>
              <w:spacing w:before="0" w:after="0" w:line="221" w:lineRule="exact"/>
              <w:jc w:val="center"/>
              <w:rPr>
                <w:rFonts w:hint="eastAsia" w:ascii="宋体" w:hAnsi="宋体" w:eastAsia="宋体" w:cs="宋体"/>
                <w:spacing w:val="1"/>
                <w:sz w:val="24"/>
                <w:szCs w:val="24"/>
                <w:highlight w:val="none"/>
                <w:lang w:eastAsia="zh-CN"/>
              </w:rPr>
            </w:pPr>
          </w:p>
        </w:tc>
      </w:tr>
      <w:tr w14:paraId="205CB1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52" w:type="dxa"/>
            <w:noWrap w:val="0"/>
            <w:vAlign w:val="center"/>
          </w:tcPr>
          <w:p w14:paraId="7DEAC33B">
            <w:pPr>
              <w:pStyle w:val="37"/>
              <w:spacing w:before="0" w:after="0" w:line="360" w:lineRule="auto"/>
              <w:jc w:val="center"/>
              <w:rPr>
                <w:rFonts w:hint="eastAsia" w:ascii="宋体" w:hAnsi="宋体" w:eastAsia="宋体" w:cs="宋体"/>
                <w:spacing w:val="1"/>
                <w:sz w:val="24"/>
                <w:szCs w:val="24"/>
                <w:highlight w:val="none"/>
                <w:lang w:eastAsia="zh-CN"/>
              </w:rPr>
            </w:pPr>
            <w:r>
              <w:rPr>
                <w:rFonts w:hint="eastAsia" w:ascii="宋体" w:hAnsi="宋体" w:eastAsia="宋体" w:cs="宋体"/>
                <w:b/>
                <w:bCs/>
                <w:spacing w:val="1"/>
                <w:sz w:val="24"/>
                <w:szCs w:val="24"/>
                <w:highlight w:val="none"/>
                <w:lang w:eastAsia="zh-CN"/>
              </w:rPr>
              <w:t>备注</w:t>
            </w:r>
          </w:p>
        </w:tc>
        <w:tc>
          <w:tcPr>
            <w:tcW w:w="8506" w:type="dxa"/>
            <w:gridSpan w:val="4"/>
            <w:noWrap w:val="0"/>
            <w:vAlign w:val="center"/>
          </w:tcPr>
          <w:p w14:paraId="46D4EC0E">
            <w:pPr>
              <w:pStyle w:val="37"/>
              <w:spacing w:before="0" w:after="0"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按招标文件要求逐条响应</w:t>
            </w:r>
          </w:p>
        </w:tc>
      </w:tr>
    </w:tbl>
    <w:p w14:paraId="45329CE3">
      <w:pPr>
        <w:pStyle w:val="37"/>
        <w:spacing w:before="0" w:after="0" w:line="360" w:lineRule="auto"/>
        <w:jc w:val="left"/>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说明：</w:t>
      </w:r>
    </w:p>
    <w:p w14:paraId="2A23FD5F">
      <w:pPr>
        <w:pStyle w:val="37"/>
        <w:spacing w:before="0" w:after="0" w:line="360" w:lineRule="auto"/>
        <w:ind w:firstLine="480" w:firstLineChars="200"/>
        <w:jc w:val="left"/>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1.</w:t>
      </w:r>
      <w:r>
        <w:rPr>
          <w:rFonts w:hint="eastAsia" w:ascii="宋体" w:hAnsi="宋体" w:eastAsia="宋体" w:cs="宋体"/>
          <w:b w:val="0"/>
          <w:bCs w:val="0"/>
          <w:sz w:val="24"/>
          <w:szCs w:val="24"/>
          <w:highlight w:val="none"/>
          <w:lang w:val="en-US" w:eastAsia="zh-CN"/>
        </w:rPr>
        <w:t>投标</w:t>
      </w:r>
      <w:r>
        <w:rPr>
          <w:rFonts w:hint="eastAsia" w:ascii="宋体" w:hAnsi="宋体" w:eastAsia="宋体" w:cs="宋体"/>
          <w:b w:val="0"/>
          <w:bCs w:val="0"/>
          <w:sz w:val="24"/>
          <w:szCs w:val="24"/>
          <w:highlight w:val="none"/>
          <w:lang w:eastAsia="zh-CN"/>
        </w:rPr>
        <w:t>文件技术参数指标响应内容必须按照投标产品实际参数指标填写与相关证明材料一致，不得直接将</w:t>
      </w:r>
      <w:r>
        <w:rPr>
          <w:rFonts w:hint="eastAsia" w:ascii="宋体" w:hAnsi="宋体" w:eastAsia="宋体" w:cs="宋体"/>
          <w:b w:val="0"/>
          <w:bCs w:val="0"/>
          <w:sz w:val="24"/>
          <w:szCs w:val="24"/>
          <w:highlight w:val="none"/>
          <w:lang w:val="en-US" w:eastAsia="zh-CN"/>
        </w:rPr>
        <w:t>招标</w:t>
      </w:r>
      <w:r>
        <w:rPr>
          <w:rFonts w:hint="eastAsia" w:ascii="宋体" w:hAnsi="宋体" w:eastAsia="宋体" w:cs="宋体"/>
          <w:b w:val="0"/>
          <w:bCs w:val="0"/>
          <w:sz w:val="24"/>
          <w:szCs w:val="24"/>
          <w:highlight w:val="none"/>
          <w:lang w:eastAsia="zh-CN"/>
        </w:rPr>
        <w:t>文件的技术参数指标要求完全复制作为</w:t>
      </w:r>
      <w:r>
        <w:rPr>
          <w:rFonts w:hint="eastAsia" w:ascii="宋体" w:hAnsi="宋体" w:eastAsia="宋体" w:cs="宋体"/>
          <w:b w:val="0"/>
          <w:bCs w:val="0"/>
          <w:sz w:val="24"/>
          <w:szCs w:val="24"/>
          <w:highlight w:val="none"/>
          <w:lang w:val="en-US" w:eastAsia="zh-CN"/>
        </w:rPr>
        <w:t>投标</w:t>
      </w:r>
      <w:r>
        <w:rPr>
          <w:rFonts w:hint="eastAsia" w:ascii="宋体" w:hAnsi="宋体" w:eastAsia="宋体" w:cs="宋体"/>
          <w:b w:val="0"/>
          <w:bCs w:val="0"/>
          <w:sz w:val="24"/>
          <w:szCs w:val="24"/>
          <w:highlight w:val="none"/>
          <w:lang w:eastAsia="zh-CN"/>
        </w:rPr>
        <w:t>文件响应内容。</w:t>
      </w:r>
    </w:p>
    <w:p w14:paraId="1510E63B">
      <w:pPr>
        <w:widowControl w:val="0"/>
        <w:spacing w:line="400" w:lineRule="exact"/>
        <w:ind w:firstLine="480" w:firstLineChars="200"/>
        <w:rPr>
          <w:rFonts w:hint="eastAsia" w:ascii="宋体" w:hAnsi="宋体" w:eastAsia="宋体" w:cs="宋体"/>
          <w:b/>
          <w:bCs/>
          <w:color w:val="000000"/>
          <w:szCs w:val="21"/>
          <w:highlight w:val="none"/>
        </w:rPr>
      </w:pPr>
      <w:r>
        <w:rPr>
          <w:rFonts w:hint="eastAsia" w:ascii="宋体" w:hAnsi="宋体" w:eastAsia="宋体" w:cs="宋体"/>
          <w:b w:val="0"/>
          <w:bCs w:val="0"/>
          <w:sz w:val="24"/>
          <w:szCs w:val="24"/>
          <w:highlight w:val="none"/>
          <w:lang w:eastAsia="zh-CN"/>
        </w:rPr>
        <w:t>2.</w:t>
      </w:r>
      <w:r>
        <w:rPr>
          <w:rFonts w:hint="eastAsia" w:ascii="宋体" w:hAnsi="宋体" w:eastAsia="宋体" w:cs="宋体"/>
          <w:b w:val="0"/>
          <w:bCs w:val="0"/>
          <w:sz w:val="24"/>
          <w:szCs w:val="24"/>
          <w:highlight w:val="none"/>
          <w:lang w:val="en-US" w:eastAsia="zh-CN"/>
        </w:rPr>
        <w:t>招标</w:t>
      </w:r>
      <w:r>
        <w:rPr>
          <w:rFonts w:hint="eastAsia" w:ascii="宋体" w:hAnsi="宋体" w:eastAsia="宋体" w:cs="宋体"/>
          <w:b w:val="0"/>
          <w:bCs w:val="0"/>
          <w:sz w:val="24"/>
          <w:szCs w:val="24"/>
          <w:highlight w:val="none"/>
          <w:lang w:eastAsia="zh-CN"/>
        </w:rPr>
        <w:t>文件中约定的每项采购内容的技术偏离情况都必须体现在此技术偏离表中，务必完整填写所有指标响应参数，必须在偏离情况栏明确偏离情况（</w:t>
      </w:r>
      <w:r>
        <w:rPr>
          <w:rFonts w:hint="eastAsia" w:ascii="宋体" w:hAnsi="宋体" w:eastAsia="宋体" w:cs="宋体"/>
          <w:b w:val="0"/>
          <w:bCs w:val="0"/>
          <w:sz w:val="24"/>
          <w:szCs w:val="24"/>
          <w:highlight w:val="none"/>
          <w:lang w:val="en-US" w:eastAsia="zh-CN"/>
        </w:rPr>
        <w:t>正偏离、无偏离、负偏离</w:t>
      </w:r>
      <w:r>
        <w:rPr>
          <w:rFonts w:hint="eastAsia" w:ascii="宋体" w:hAnsi="宋体" w:eastAsia="宋体" w:cs="宋体"/>
          <w:b w:val="0"/>
          <w:bCs w:val="0"/>
          <w:sz w:val="24"/>
          <w:szCs w:val="24"/>
          <w:highlight w:val="none"/>
          <w:lang w:eastAsia="zh-CN"/>
        </w:rPr>
        <w:t>），且偏离情况与实际相符。</w:t>
      </w:r>
    </w:p>
    <w:p w14:paraId="2CDFCA16">
      <w:pPr>
        <w:widowControl w:val="0"/>
        <w:spacing w:line="400" w:lineRule="exact"/>
        <w:rPr>
          <w:rFonts w:hint="eastAsia" w:ascii="宋体" w:hAnsi="宋体" w:eastAsia="宋体" w:cs="宋体"/>
          <w:b/>
          <w:bCs/>
          <w:color w:val="000000"/>
          <w:szCs w:val="21"/>
          <w:highlight w:val="none"/>
        </w:rPr>
      </w:pPr>
    </w:p>
    <w:p w14:paraId="48098C6E">
      <w:pPr>
        <w:widowControl w:val="0"/>
        <w:ind w:firstLine="420" w:firstLineChars="200"/>
        <w:rPr>
          <w:rFonts w:hint="eastAsia" w:ascii="宋体" w:hAnsi="宋体" w:eastAsia="宋体" w:cs="宋体"/>
          <w:color w:val="000000"/>
          <w:highlight w:val="none"/>
        </w:rPr>
      </w:pPr>
    </w:p>
    <w:bookmarkEnd w:id="176"/>
    <w:bookmarkEnd w:id="177"/>
    <w:bookmarkEnd w:id="178"/>
    <w:bookmarkEnd w:id="179"/>
    <w:bookmarkEnd w:id="180"/>
    <w:bookmarkEnd w:id="181"/>
    <w:bookmarkEnd w:id="182"/>
    <w:bookmarkEnd w:id="183"/>
    <w:p w14:paraId="0302E84A">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lang w:eastAsia="zh-CN"/>
        </w:rPr>
        <w:t>供应商</w:t>
      </w:r>
      <w:r>
        <w:rPr>
          <w:rFonts w:hint="eastAsia" w:ascii="宋体" w:hAnsi="宋体" w:eastAsia="宋体" w:cs="宋体"/>
          <w:color w:val="auto"/>
          <w:sz w:val="24"/>
          <w:highlight w:val="none"/>
          <w:shd w:val="clear" w:color="auto" w:fill="auto"/>
        </w:rPr>
        <w:t>全称：</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（公章）</w:t>
      </w:r>
    </w:p>
    <w:p w14:paraId="690C811F">
      <w:pPr>
        <w:kinsoku w:val="0"/>
        <w:spacing w:line="500" w:lineRule="exact"/>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法定代表人或被授权人（签字或盖章）：</w:t>
      </w:r>
      <w:r>
        <w:rPr>
          <w:rFonts w:hint="eastAsia" w:ascii="宋体" w:hAnsi="宋体" w:eastAsia="宋体" w:cs="宋体"/>
          <w:color w:val="auto"/>
          <w:sz w:val="24"/>
          <w:highlight w:val="none"/>
          <w:u w:val="single"/>
          <w:shd w:val="clear" w:color="auto" w:fill="auto"/>
        </w:rPr>
        <w:t xml:space="preserve">                   </w:t>
      </w:r>
    </w:p>
    <w:p w14:paraId="166F5B66">
      <w:pPr>
        <w:widowControl w:val="0"/>
        <w:rPr>
          <w:rFonts w:hint="eastAsia" w:ascii="宋体" w:hAnsi="宋体" w:eastAsia="宋体" w:cs="宋体"/>
          <w:color w:val="000000"/>
          <w:sz w:val="24"/>
          <w:szCs w:val="24"/>
          <w:highlight w:val="none"/>
        </w:rPr>
      </w:pPr>
      <w:r>
        <w:rPr>
          <w:rFonts w:hint="eastAsia" w:ascii="宋体" w:hAnsi="宋体" w:eastAsia="宋体" w:cs="宋体"/>
          <w:color w:val="auto"/>
          <w:sz w:val="24"/>
          <w:highlight w:val="none"/>
          <w:shd w:val="clear" w:color="auto" w:fill="auto"/>
        </w:rPr>
        <w:t>日   期：</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年   月   日</w:t>
      </w:r>
    </w:p>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22BB6B03">
      <w:pPr>
        <w:bidi w:val="0"/>
        <w:rPr>
          <w:rFonts w:hint="eastAsia" w:ascii="宋体" w:hAnsi="宋体" w:eastAsia="宋体" w:cs="宋体"/>
          <w:highlight w:val="none"/>
          <w:lang w:eastAsia="zh-CN"/>
        </w:rPr>
      </w:pPr>
      <w:bookmarkStart w:id="199" w:name="_Toc7319"/>
      <w:bookmarkStart w:id="200" w:name="_Toc23875"/>
      <w:bookmarkStart w:id="201" w:name="_Toc15996"/>
    </w:p>
    <w:p w14:paraId="47B880D7">
      <w:pPr>
        <w:spacing w:line="480" w:lineRule="exact"/>
        <w:ind w:left="210" w:leftChars="100"/>
        <w:jc w:val="center"/>
        <w:outlineLvl w:val="0"/>
        <w:rPr>
          <w:rFonts w:hint="eastAsia" w:ascii="宋体" w:hAnsi="宋体" w:eastAsia="宋体" w:cs="宋体"/>
          <w:b/>
          <w:bCs/>
          <w:color w:val="000000"/>
          <w:sz w:val="36"/>
          <w:szCs w:val="21"/>
          <w:highlight w:val="none"/>
        </w:rPr>
      </w:pPr>
      <w:r>
        <w:rPr>
          <w:rFonts w:hint="eastAsia" w:ascii="宋体" w:hAnsi="宋体" w:eastAsia="宋体" w:cs="宋体"/>
          <w:b/>
          <w:bCs/>
          <w:color w:val="000000"/>
          <w:sz w:val="32"/>
          <w:szCs w:val="32"/>
          <w:highlight w:val="none"/>
          <w:lang w:eastAsia="zh-CN"/>
        </w:rPr>
        <w:br w:type="page"/>
      </w:r>
      <w:r>
        <w:rPr>
          <w:rFonts w:hint="eastAsia" w:ascii="宋体" w:hAnsi="宋体" w:eastAsia="宋体" w:cs="宋体"/>
          <w:b/>
          <w:bCs/>
          <w:color w:val="000000"/>
          <w:sz w:val="32"/>
          <w:szCs w:val="32"/>
          <w:highlight w:val="none"/>
          <w:lang w:eastAsia="zh-CN"/>
        </w:rPr>
        <w:t>（</w:t>
      </w:r>
      <w:r>
        <w:rPr>
          <w:rFonts w:hint="eastAsia" w:ascii="宋体" w:hAnsi="宋体" w:eastAsia="宋体" w:cs="宋体"/>
          <w:b/>
          <w:bCs/>
          <w:color w:val="000000"/>
          <w:sz w:val="32"/>
          <w:szCs w:val="32"/>
          <w:highlight w:val="none"/>
          <w:lang w:val="en-US" w:eastAsia="zh-CN"/>
        </w:rPr>
        <w:t>3</w:t>
      </w:r>
      <w:r>
        <w:rPr>
          <w:rFonts w:hint="eastAsia" w:ascii="宋体" w:hAnsi="宋体" w:eastAsia="宋体" w:cs="宋体"/>
          <w:b/>
          <w:bCs/>
          <w:color w:val="000000"/>
          <w:sz w:val="32"/>
          <w:szCs w:val="32"/>
          <w:highlight w:val="none"/>
          <w:lang w:eastAsia="zh-CN"/>
        </w:rPr>
        <w:t>）</w:t>
      </w:r>
      <w:r>
        <w:rPr>
          <w:rFonts w:hint="eastAsia" w:ascii="宋体" w:hAnsi="宋体" w:eastAsia="宋体" w:cs="宋体"/>
          <w:b/>
          <w:bCs/>
          <w:color w:val="000000"/>
          <w:sz w:val="32"/>
          <w:szCs w:val="32"/>
          <w:highlight w:val="none"/>
        </w:rPr>
        <w:t>商务条款响应偏离表</w:t>
      </w:r>
      <w:bookmarkEnd w:id="199"/>
      <w:bookmarkEnd w:id="200"/>
      <w:bookmarkEnd w:id="201"/>
    </w:p>
    <w:tbl>
      <w:tblPr>
        <w:tblStyle w:val="15"/>
        <w:tblW w:w="92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2"/>
        <w:gridCol w:w="2984"/>
        <w:gridCol w:w="2984"/>
        <w:gridCol w:w="1269"/>
        <w:gridCol w:w="1269"/>
      </w:tblGrid>
      <w:tr w14:paraId="5BE41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21A45BF1">
            <w:pPr>
              <w:pStyle w:val="37"/>
              <w:spacing w:before="0" w:after="0" w:line="360" w:lineRule="auto"/>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序号</w:t>
            </w:r>
          </w:p>
        </w:tc>
        <w:tc>
          <w:tcPr>
            <w:tcW w:w="2984" w:type="dxa"/>
            <w:noWrap w:val="0"/>
            <w:vAlign w:val="center"/>
          </w:tcPr>
          <w:p w14:paraId="1A809F11">
            <w:pPr>
              <w:pStyle w:val="37"/>
              <w:spacing w:before="0" w:after="0" w:line="360" w:lineRule="auto"/>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val="en-US" w:eastAsia="zh-CN"/>
              </w:rPr>
              <w:t>招标</w:t>
            </w:r>
            <w:r>
              <w:rPr>
                <w:rFonts w:hint="eastAsia" w:ascii="宋体" w:hAnsi="宋体" w:eastAsia="宋体" w:cs="宋体"/>
                <w:spacing w:val="1"/>
                <w:sz w:val="24"/>
                <w:szCs w:val="24"/>
                <w:highlight w:val="none"/>
                <w:lang w:eastAsia="zh-CN"/>
              </w:rPr>
              <w:t>文件要求内容</w:t>
            </w:r>
          </w:p>
        </w:tc>
        <w:tc>
          <w:tcPr>
            <w:tcW w:w="2984" w:type="dxa"/>
            <w:noWrap w:val="0"/>
            <w:vAlign w:val="center"/>
          </w:tcPr>
          <w:p w14:paraId="39F7C858">
            <w:pPr>
              <w:pStyle w:val="37"/>
              <w:spacing w:before="0" w:after="0" w:line="360" w:lineRule="auto"/>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val="en-US" w:eastAsia="zh-CN"/>
              </w:rPr>
              <w:t>投标</w:t>
            </w:r>
            <w:r>
              <w:rPr>
                <w:rFonts w:hint="eastAsia" w:ascii="宋体" w:hAnsi="宋体" w:eastAsia="宋体" w:cs="宋体"/>
                <w:spacing w:val="1"/>
                <w:sz w:val="24"/>
                <w:szCs w:val="24"/>
                <w:highlight w:val="none"/>
                <w:lang w:eastAsia="zh-CN"/>
              </w:rPr>
              <w:t>文件响应内容</w:t>
            </w:r>
          </w:p>
        </w:tc>
        <w:tc>
          <w:tcPr>
            <w:tcW w:w="1269" w:type="dxa"/>
            <w:noWrap w:val="0"/>
            <w:vAlign w:val="center"/>
          </w:tcPr>
          <w:p w14:paraId="059AD370">
            <w:pPr>
              <w:pStyle w:val="37"/>
              <w:spacing w:before="0" w:after="0" w:line="360" w:lineRule="auto"/>
              <w:jc w:val="center"/>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偏离情况</w:t>
            </w:r>
          </w:p>
        </w:tc>
        <w:tc>
          <w:tcPr>
            <w:tcW w:w="1269" w:type="dxa"/>
            <w:noWrap w:val="0"/>
            <w:vAlign w:val="center"/>
          </w:tcPr>
          <w:p w14:paraId="7C326582">
            <w:pPr>
              <w:pStyle w:val="37"/>
              <w:spacing w:before="0" w:after="0" w:line="360" w:lineRule="auto"/>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偏离说明</w:t>
            </w:r>
          </w:p>
        </w:tc>
      </w:tr>
      <w:tr w14:paraId="5D993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72A001D9">
            <w:pPr>
              <w:pStyle w:val="37"/>
              <w:spacing w:before="0" w:after="0" w:line="221" w:lineRule="exact"/>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1</w:t>
            </w:r>
          </w:p>
        </w:tc>
        <w:tc>
          <w:tcPr>
            <w:tcW w:w="2984" w:type="dxa"/>
            <w:noWrap w:val="0"/>
            <w:vAlign w:val="center"/>
          </w:tcPr>
          <w:p w14:paraId="3286C2B5">
            <w:pPr>
              <w:pStyle w:val="37"/>
              <w:spacing w:before="0" w:after="0" w:line="221" w:lineRule="exact"/>
              <w:jc w:val="center"/>
              <w:rPr>
                <w:rFonts w:hint="eastAsia" w:ascii="宋体" w:hAnsi="宋体" w:eastAsia="宋体" w:cs="宋体"/>
                <w:spacing w:val="1"/>
                <w:sz w:val="24"/>
                <w:szCs w:val="24"/>
                <w:highlight w:val="none"/>
                <w:lang w:eastAsia="zh-CN"/>
              </w:rPr>
            </w:pPr>
          </w:p>
        </w:tc>
        <w:tc>
          <w:tcPr>
            <w:tcW w:w="2984" w:type="dxa"/>
            <w:noWrap w:val="0"/>
            <w:vAlign w:val="center"/>
          </w:tcPr>
          <w:p w14:paraId="1F1A0FF5">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665C5126">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1CA882D6">
            <w:pPr>
              <w:pStyle w:val="37"/>
              <w:spacing w:before="0" w:after="0" w:line="221" w:lineRule="exact"/>
              <w:jc w:val="center"/>
              <w:rPr>
                <w:rFonts w:hint="eastAsia" w:ascii="宋体" w:hAnsi="宋体" w:eastAsia="宋体" w:cs="宋体"/>
                <w:spacing w:val="1"/>
                <w:sz w:val="24"/>
                <w:szCs w:val="24"/>
                <w:highlight w:val="none"/>
                <w:lang w:eastAsia="zh-CN"/>
              </w:rPr>
            </w:pPr>
          </w:p>
        </w:tc>
      </w:tr>
      <w:tr w14:paraId="251BC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3CF1BF77">
            <w:pPr>
              <w:pStyle w:val="37"/>
              <w:spacing w:before="0" w:after="0" w:line="221" w:lineRule="exact"/>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2</w:t>
            </w:r>
          </w:p>
        </w:tc>
        <w:tc>
          <w:tcPr>
            <w:tcW w:w="2984" w:type="dxa"/>
            <w:noWrap w:val="0"/>
            <w:vAlign w:val="center"/>
          </w:tcPr>
          <w:p w14:paraId="75E1D06B">
            <w:pPr>
              <w:pStyle w:val="37"/>
              <w:spacing w:before="0" w:after="0" w:line="221" w:lineRule="exact"/>
              <w:jc w:val="center"/>
              <w:rPr>
                <w:rFonts w:hint="eastAsia" w:ascii="宋体" w:hAnsi="宋体" w:eastAsia="宋体" w:cs="宋体"/>
                <w:spacing w:val="1"/>
                <w:sz w:val="24"/>
                <w:szCs w:val="24"/>
                <w:highlight w:val="none"/>
                <w:lang w:eastAsia="zh-CN"/>
              </w:rPr>
            </w:pPr>
          </w:p>
        </w:tc>
        <w:tc>
          <w:tcPr>
            <w:tcW w:w="2984" w:type="dxa"/>
            <w:noWrap w:val="0"/>
            <w:vAlign w:val="center"/>
          </w:tcPr>
          <w:p w14:paraId="0CC84B50">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5A9815A0">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373C4047">
            <w:pPr>
              <w:pStyle w:val="37"/>
              <w:spacing w:before="0" w:after="0" w:line="221" w:lineRule="exact"/>
              <w:jc w:val="center"/>
              <w:rPr>
                <w:rFonts w:hint="eastAsia" w:ascii="宋体" w:hAnsi="宋体" w:eastAsia="宋体" w:cs="宋体"/>
                <w:spacing w:val="1"/>
                <w:sz w:val="24"/>
                <w:szCs w:val="24"/>
                <w:highlight w:val="none"/>
                <w:lang w:eastAsia="zh-CN"/>
              </w:rPr>
            </w:pPr>
          </w:p>
        </w:tc>
      </w:tr>
      <w:tr w14:paraId="01D739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41A6A9B0">
            <w:pPr>
              <w:pStyle w:val="37"/>
              <w:spacing w:before="0" w:after="0" w:line="221" w:lineRule="exact"/>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3</w:t>
            </w:r>
          </w:p>
        </w:tc>
        <w:tc>
          <w:tcPr>
            <w:tcW w:w="2984" w:type="dxa"/>
            <w:noWrap w:val="0"/>
            <w:vAlign w:val="center"/>
          </w:tcPr>
          <w:p w14:paraId="66D47F9F">
            <w:pPr>
              <w:pStyle w:val="37"/>
              <w:spacing w:before="0" w:after="0" w:line="221" w:lineRule="exact"/>
              <w:jc w:val="center"/>
              <w:rPr>
                <w:rFonts w:hint="eastAsia" w:ascii="宋体" w:hAnsi="宋体" w:eastAsia="宋体" w:cs="宋体"/>
                <w:spacing w:val="1"/>
                <w:sz w:val="24"/>
                <w:szCs w:val="24"/>
                <w:highlight w:val="none"/>
                <w:lang w:eastAsia="zh-CN"/>
              </w:rPr>
            </w:pPr>
          </w:p>
        </w:tc>
        <w:tc>
          <w:tcPr>
            <w:tcW w:w="2984" w:type="dxa"/>
            <w:noWrap w:val="0"/>
            <w:vAlign w:val="center"/>
          </w:tcPr>
          <w:p w14:paraId="0798E917">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68C150EC">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2C557F72">
            <w:pPr>
              <w:pStyle w:val="37"/>
              <w:spacing w:before="0" w:after="0" w:line="221" w:lineRule="exact"/>
              <w:jc w:val="center"/>
              <w:rPr>
                <w:rFonts w:hint="eastAsia" w:ascii="宋体" w:hAnsi="宋体" w:eastAsia="宋体" w:cs="宋体"/>
                <w:spacing w:val="1"/>
                <w:sz w:val="24"/>
                <w:szCs w:val="24"/>
                <w:highlight w:val="none"/>
                <w:lang w:eastAsia="zh-CN"/>
              </w:rPr>
            </w:pPr>
          </w:p>
        </w:tc>
      </w:tr>
      <w:tr w14:paraId="14580B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3C4BEBC0">
            <w:pPr>
              <w:pStyle w:val="37"/>
              <w:spacing w:before="0" w:after="0" w:line="221" w:lineRule="exact"/>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4</w:t>
            </w:r>
          </w:p>
        </w:tc>
        <w:tc>
          <w:tcPr>
            <w:tcW w:w="2984" w:type="dxa"/>
            <w:noWrap w:val="0"/>
            <w:vAlign w:val="center"/>
          </w:tcPr>
          <w:p w14:paraId="2CF83963">
            <w:pPr>
              <w:pStyle w:val="37"/>
              <w:spacing w:before="0" w:after="0" w:line="221" w:lineRule="exact"/>
              <w:jc w:val="center"/>
              <w:rPr>
                <w:rFonts w:hint="eastAsia" w:ascii="宋体" w:hAnsi="宋体" w:eastAsia="宋体" w:cs="宋体"/>
                <w:spacing w:val="1"/>
                <w:sz w:val="24"/>
                <w:szCs w:val="24"/>
                <w:highlight w:val="none"/>
                <w:lang w:eastAsia="zh-CN"/>
              </w:rPr>
            </w:pPr>
          </w:p>
        </w:tc>
        <w:tc>
          <w:tcPr>
            <w:tcW w:w="2984" w:type="dxa"/>
            <w:noWrap w:val="0"/>
            <w:vAlign w:val="center"/>
          </w:tcPr>
          <w:p w14:paraId="7A1A10E5">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06C38343">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181AEDBC">
            <w:pPr>
              <w:pStyle w:val="37"/>
              <w:spacing w:before="0" w:after="0" w:line="221" w:lineRule="exact"/>
              <w:jc w:val="center"/>
              <w:rPr>
                <w:rFonts w:hint="eastAsia" w:ascii="宋体" w:hAnsi="宋体" w:eastAsia="宋体" w:cs="宋体"/>
                <w:spacing w:val="1"/>
                <w:sz w:val="24"/>
                <w:szCs w:val="24"/>
                <w:highlight w:val="none"/>
                <w:lang w:eastAsia="zh-CN"/>
              </w:rPr>
            </w:pPr>
          </w:p>
        </w:tc>
      </w:tr>
      <w:tr w14:paraId="443204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52" w:type="dxa"/>
            <w:noWrap w:val="0"/>
            <w:vAlign w:val="center"/>
          </w:tcPr>
          <w:p w14:paraId="448A575A">
            <w:pPr>
              <w:pStyle w:val="37"/>
              <w:spacing w:before="0" w:after="0" w:line="221" w:lineRule="exact"/>
              <w:jc w:val="center"/>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5</w:t>
            </w:r>
          </w:p>
        </w:tc>
        <w:tc>
          <w:tcPr>
            <w:tcW w:w="2984" w:type="dxa"/>
            <w:noWrap w:val="0"/>
            <w:vAlign w:val="center"/>
          </w:tcPr>
          <w:p w14:paraId="74DC8B0D">
            <w:pPr>
              <w:pStyle w:val="37"/>
              <w:spacing w:before="0" w:after="0" w:line="221" w:lineRule="exact"/>
              <w:jc w:val="center"/>
              <w:rPr>
                <w:rFonts w:hint="eastAsia" w:ascii="宋体" w:hAnsi="宋体" w:eastAsia="宋体" w:cs="宋体"/>
                <w:spacing w:val="1"/>
                <w:sz w:val="24"/>
                <w:szCs w:val="24"/>
                <w:highlight w:val="none"/>
                <w:lang w:eastAsia="zh-CN"/>
              </w:rPr>
            </w:pPr>
          </w:p>
        </w:tc>
        <w:tc>
          <w:tcPr>
            <w:tcW w:w="2984" w:type="dxa"/>
            <w:noWrap w:val="0"/>
            <w:vAlign w:val="center"/>
          </w:tcPr>
          <w:p w14:paraId="3BB3BAE5">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12B944D6">
            <w:pPr>
              <w:pStyle w:val="37"/>
              <w:spacing w:before="0" w:after="0" w:line="221" w:lineRule="exact"/>
              <w:jc w:val="center"/>
              <w:rPr>
                <w:rFonts w:hint="eastAsia" w:ascii="宋体" w:hAnsi="宋体" w:eastAsia="宋体" w:cs="宋体"/>
                <w:spacing w:val="1"/>
                <w:sz w:val="24"/>
                <w:szCs w:val="24"/>
                <w:highlight w:val="none"/>
                <w:lang w:eastAsia="zh-CN"/>
              </w:rPr>
            </w:pPr>
          </w:p>
        </w:tc>
        <w:tc>
          <w:tcPr>
            <w:tcW w:w="1269" w:type="dxa"/>
            <w:noWrap w:val="0"/>
            <w:vAlign w:val="center"/>
          </w:tcPr>
          <w:p w14:paraId="7AB00E09">
            <w:pPr>
              <w:pStyle w:val="37"/>
              <w:spacing w:before="0" w:after="0" w:line="221" w:lineRule="exact"/>
              <w:jc w:val="center"/>
              <w:rPr>
                <w:rFonts w:hint="eastAsia" w:ascii="宋体" w:hAnsi="宋体" w:eastAsia="宋体" w:cs="宋体"/>
                <w:spacing w:val="1"/>
                <w:sz w:val="24"/>
                <w:szCs w:val="24"/>
                <w:highlight w:val="none"/>
                <w:lang w:eastAsia="zh-CN"/>
              </w:rPr>
            </w:pPr>
          </w:p>
        </w:tc>
      </w:tr>
      <w:tr w14:paraId="3060C3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2" w:hRule="atLeast"/>
          <w:jc w:val="center"/>
        </w:trPr>
        <w:tc>
          <w:tcPr>
            <w:tcW w:w="752" w:type="dxa"/>
            <w:noWrap w:val="0"/>
            <w:vAlign w:val="center"/>
          </w:tcPr>
          <w:p w14:paraId="3DADA603">
            <w:pPr>
              <w:pStyle w:val="37"/>
              <w:spacing w:before="0" w:after="0" w:line="360" w:lineRule="auto"/>
              <w:jc w:val="center"/>
              <w:rPr>
                <w:rFonts w:hint="eastAsia" w:ascii="宋体" w:hAnsi="宋体" w:eastAsia="宋体" w:cs="宋体"/>
                <w:spacing w:val="1"/>
                <w:sz w:val="24"/>
                <w:szCs w:val="24"/>
                <w:highlight w:val="none"/>
                <w:lang w:eastAsia="zh-CN"/>
              </w:rPr>
            </w:pPr>
            <w:r>
              <w:rPr>
                <w:rFonts w:hint="eastAsia" w:ascii="宋体" w:hAnsi="宋体" w:eastAsia="宋体" w:cs="宋体"/>
                <w:b/>
                <w:bCs/>
                <w:spacing w:val="1"/>
                <w:sz w:val="24"/>
                <w:szCs w:val="24"/>
                <w:highlight w:val="none"/>
                <w:lang w:eastAsia="zh-CN"/>
              </w:rPr>
              <w:t>备注</w:t>
            </w:r>
          </w:p>
        </w:tc>
        <w:tc>
          <w:tcPr>
            <w:tcW w:w="8506" w:type="dxa"/>
            <w:gridSpan w:val="4"/>
            <w:noWrap w:val="0"/>
            <w:vAlign w:val="center"/>
          </w:tcPr>
          <w:p w14:paraId="0E26442A">
            <w:pPr>
              <w:pStyle w:val="37"/>
              <w:spacing w:before="0" w:after="0"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除已在偏离表中列出的偏离外完全响应</w:t>
            </w:r>
            <w:r>
              <w:rPr>
                <w:rFonts w:hint="eastAsia" w:ascii="宋体" w:hAnsi="宋体" w:eastAsia="宋体" w:cs="宋体"/>
                <w:b/>
                <w:bCs/>
                <w:sz w:val="24"/>
                <w:szCs w:val="24"/>
                <w:highlight w:val="none"/>
                <w:lang w:val="en-US" w:eastAsia="zh-CN"/>
              </w:rPr>
              <w:t>招标</w:t>
            </w:r>
            <w:r>
              <w:rPr>
                <w:rFonts w:hint="eastAsia" w:ascii="宋体" w:hAnsi="宋体" w:eastAsia="宋体" w:cs="宋体"/>
                <w:b/>
                <w:bCs/>
                <w:sz w:val="24"/>
                <w:szCs w:val="24"/>
                <w:highlight w:val="none"/>
                <w:lang w:eastAsia="zh-CN"/>
              </w:rPr>
              <w:t>文件的全部商务要求。</w:t>
            </w:r>
          </w:p>
        </w:tc>
      </w:tr>
    </w:tbl>
    <w:p w14:paraId="445C6003">
      <w:pPr>
        <w:pStyle w:val="37"/>
        <w:spacing w:before="0" w:after="0" w:line="360" w:lineRule="auto"/>
        <w:jc w:val="left"/>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说明：</w:t>
      </w:r>
    </w:p>
    <w:p w14:paraId="66AC273C">
      <w:pPr>
        <w:pStyle w:val="37"/>
        <w:spacing w:before="0" w:after="0" w:line="360" w:lineRule="auto"/>
        <w:ind w:firstLine="480" w:firstLineChars="200"/>
        <w:jc w:val="left"/>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eastAsia="zh-CN"/>
        </w:rPr>
        <w:t>1、本表只填写</w:t>
      </w:r>
      <w:r>
        <w:rPr>
          <w:rFonts w:hint="eastAsia" w:ascii="宋体" w:hAnsi="宋体" w:eastAsia="宋体" w:cs="宋体"/>
          <w:b w:val="0"/>
          <w:bCs w:val="0"/>
          <w:sz w:val="24"/>
          <w:szCs w:val="24"/>
          <w:highlight w:val="none"/>
          <w:lang w:val="en-US" w:eastAsia="zh-CN"/>
        </w:rPr>
        <w:t>投标</w:t>
      </w:r>
      <w:r>
        <w:rPr>
          <w:rFonts w:hint="eastAsia" w:ascii="宋体" w:hAnsi="宋体" w:eastAsia="宋体" w:cs="宋体"/>
          <w:b w:val="0"/>
          <w:bCs w:val="0"/>
          <w:sz w:val="24"/>
          <w:szCs w:val="24"/>
          <w:highlight w:val="none"/>
          <w:lang w:eastAsia="zh-CN"/>
        </w:rPr>
        <w:t>文件中与</w:t>
      </w:r>
      <w:r>
        <w:rPr>
          <w:rFonts w:hint="eastAsia" w:ascii="宋体" w:hAnsi="宋体" w:eastAsia="宋体" w:cs="宋体"/>
          <w:b w:val="0"/>
          <w:bCs w:val="0"/>
          <w:sz w:val="24"/>
          <w:szCs w:val="24"/>
          <w:highlight w:val="none"/>
          <w:lang w:val="en-US" w:eastAsia="zh-CN"/>
        </w:rPr>
        <w:t>招标文件</w:t>
      </w:r>
      <w:r>
        <w:rPr>
          <w:rFonts w:hint="eastAsia" w:ascii="宋体" w:hAnsi="宋体" w:eastAsia="宋体" w:cs="宋体"/>
          <w:b w:val="0"/>
          <w:bCs w:val="0"/>
          <w:sz w:val="24"/>
          <w:szCs w:val="24"/>
          <w:highlight w:val="none"/>
          <w:lang w:eastAsia="zh-CN"/>
        </w:rPr>
        <w:t>有偏离（包括正偏离和负偏离）的内容，</w:t>
      </w:r>
      <w:r>
        <w:rPr>
          <w:rFonts w:hint="eastAsia" w:ascii="宋体" w:hAnsi="宋体" w:eastAsia="宋体" w:cs="宋体"/>
          <w:b w:val="0"/>
          <w:bCs w:val="0"/>
          <w:sz w:val="24"/>
          <w:szCs w:val="24"/>
          <w:highlight w:val="none"/>
          <w:lang w:val="en-US" w:eastAsia="zh-CN"/>
        </w:rPr>
        <w:t>投标</w:t>
      </w:r>
      <w:r>
        <w:rPr>
          <w:rFonts w:hint="eastAsia" w:ascii="宋体" w:hAnsi="宋体" w:eastAsia="宋体" w:cs="宋体"/>
          <w:b w:val="0"/>
          <w:bCs w:val="0"/>
          <w:sz w:val="24"/>
          <w:szCs w:val="24"/>
          <w:highlight w:val="none"/>
          <w:lang w:eastAsia="zh-CN"/>
        </w:rPr>
        <w:t>文件中商务响应与</w:t>
      </w:r>
      <w:r>
        <w:rPr>
          <w:rFonts w:hint="eastAsia" w:ascii="宋体" w:hAnsi="宋体" w:eastAsia="宋体" w:cs="宋体"/>
          <w:b w:val="0"/>
          <w:bCs w:val="0"/>
          <w:sz w:val="24"/>
          <w:szCs w:val="24"/>
          <w:highlight w:val="none"/>
          <w:lang w:val="en-US" w:eastAsia="zh-CN"/>
        </w:rPr>
        <w:t>招标文件商务</w:t>
      </w:r>
      <w:r>
        <w:rPr>
          <w:rFonts w:hint="eastAsia" w:ascii="宋体" w:hAnsi="宋体" w:eastAsia="宋体" w:cs="宋体"/>
          <w:b w:val="0"/>
          <w:bCs w:val="0"/>
          <w:sz w:val="24"/>
          <w:szCs w:val="24"/>
          <w:highlight w:val="none"/>
          <w:lang w:eastAsia="zh-CN"/>
        </w:rPr>
        <w:t>要求完全一致的，不用在此表中列出，但必须提交空白表。</w:t>
      </w:r>
    </w:p>
    <w:p w14:paraId="355483A9">
      <w:pPr>
        <w:spacing w:line="480" w:lineRule="exact"/>
        <w:rPr>
          <w:rFonts w:hint="eastAsia" w:ascii="宋体" w:hAnsi="宋体" w:eastAsia="宋体" w:cs="宋体"/>
          <w:color w:val="000000"/>
          <w:sz w:val="28"/>
          <w:szCs w:val="28"/>
          <w:highlight w:val="none"/>
        </w:rPr>
      </w:pPr>
      <w:r>
        <w:rPr>
          <w:rFonts w:hint="eastAsia" w:ascii="宋体" w:hAnsi="宋体" w:eastAsia="宋体" w:cs="宋体"/>
          <w:b w:val="0"/>
          <w:bCs w:val="0"/>
          <w:sz w:val="24"/>
          <w:szCs w:val="24"/>
          <w:highlight w:val="none"/>
          <w:lang w:eastAsia="zh-CN"/>
        </w:rPr>
        <w:t>2、</w:t>
      </w: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b w:val="0"/>
          <w:bCs w:val="0"/>
          <w:sz w:val="24"/>
          <w:szCs w:val="24"/>
          <w:highlight w:val="none"/>
          <w:lang w:eastAsia="zh-CN"/>
        </w:rPr>
        <w:t>应按实际情况填写，不得虚假响应，否则将取消其</w:t>
      </w:r>
      <w:r>
        <w:rPr>
          <w:rFonts w:hint="eastAsia" w:ascii="宋体" w:hAnsi="宋体" w:eastAsia="宋体" w:cs="宋体"/>
          <w:b w:val="0"/>
          <w:bCs w:val="0"/>
          <w:sz w:val="24"/>
          <w:szCs w:val="24"/>
          <w:highlight w:val="none"/>
          <w:lang w:val="en-US" w:eastAsia="zh-CN"/>
        </w:rPr>
        <w:t>投标</w:t>
      </w:r>
      <w:r>
        <w:rPr>
          <w:rFonts w:hint="eastAsia" w:ascii="宋体" w:hAnsi="宋体" w:eastAsia="宋体" w:cs="宋体"/>
          <w:b w:val="0"/>
          <w:bCs w:val="0"/>
          <w:sz w:val="24"/>
          <w:szCs w:val="24"/>
          <w:highlight w:val="none"/>
          <w:lang w:eastAsia="zh-CN"/>
        </w:rPr>
        <w:t>或</w:t>
      </w:r>
      <w:r>
        <w:rPr>
          <w:rFonts w:hint="eastAsia" w:ascii="宋体" w:hAnsi="宋体" w:eastAsia="宋体" w:cs="宋体"/>
          <w:b w:val="0"/>
          <w:bCs w:val="0"/>
          <w:sz w:val="24"/>
          <w:szCs w:val="24"/>
          <w:highlight w:val="none"/>
          <w:lang w:val="en-US" w:eastAsia="zh-CN"/>
        </w:rPr>
        <w:t>中标</w:t>
      </w:r>
      <w:r>
        <w:rPr>
          <w:rFonts w:hint="eastAsia" w:ascii="宋体" w:hAnsi="宋体" w:eastAsia="宋体" w:cs="宋体"/>
          <w:b w:val="0"/>
          <w:bCs w:val="0"/>
          <w:sz w:val="24"/>
          <w:szCs w:val="24"/>
          <w:highlight w:val="none"/>
          <w:lang w:eastAsia="zh-CN"/>
        </w:rPr>
        <w:t>资格，并按有关规定进处罚。</w:t>
      </w:r>
    </w:p>
    <w:p w14:paraId="7A2A222A">
      <w:pPr>
        <w:ind w:firstLine="420" w:firstLineChars="200"/>
        <w:rPr>
          <w:rFonts w:hint="eastAsia" w:ascii="宋体" w:hAnsi="宋体" w:eastAsia="宋体" w:cs="宋体"/>
          <w:color w:val="000000"/>
          <w:sz w:val="21"/>
          <w:szCs w:val="21"/>
          <w:highlight w:val="none"/>
        </w:rPr>
      </w:pPr>
      <w:bookmarkStart w:id="202" w:name="_Hlk31399899"/>
    </w:p>
    <w:p w14:paraId="2C8070D2">
      <w:pPr>
        <w:ind w:firstLine="420" w:firstLineChars="200"/>
        <w:rPr>
          <w:rFonts w:hint="eastAsia" w:ascii="宋体" w:hAnsi="宋体" w:eastAsia="宋体" w:cs="宋体"/>
          <w:color w:val="000000"/>
          <w:sz w:val="21"/>
          <w:szCs w:val="21"/>
          <w:highlight w:val="none"/>
        </w:rPr>
      </w:pPr>
    </w:p>
    <w:p w14:paraId="64572977">
      <w:pPr>
        <w:ind w:firstLine="420" w:firstLineChars="200"/>
        <w:rPr>
          <w:rFonts w:hint="eastAsia" w:ascii="宋体" w:hAnsi="宋体" w:eastAsia="宋体" w:cs="宋体"/>
          <w:color w:val="000000"/>
          <w:sz w:val="21"/>
          <w:szCs w:val="21"/>
          <w:highlight w:val="none"/>
        </w:rPr>
      </w:pPr>
    </w:p>
    <w:bookmarkEnd w:id="202"/>
    <w:p w14:paraId="6D5DA67F">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lang w:eastAsia="zh-CN"/>
        </w:rPr>
        <w:t>供应商</w:t>
      </w:r>
      <w:r>
        <w:rPr>
          <w:rFonts w:hint="eastAsia" w:ascii="宋体" w:hAnsi="宋体" w:eastAsia="宋体" w:cs="宋体"/>
          <w:color w:val="auto"/>
          <w:sz w:val="24"/>
          <w:highlight w:val="none"/>
          <w:shd w:val="clear" w:color="auto" w:fill="auto"/>
        </w:rPr>
        <w:t>全称：</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（公章）</w:t>
      </w:r>
    </w:p>
    <w:p w14:paraId="6A21F9A7">
      <w:pPr>
        <w:kinsoku w:val="0"/>
        <w:spacing w:line="500" w:lineRule="exact"/>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法定代表人或被授权人（签字或盖章）：</w:t>
      </w:r>
      <w:r>
        <w:rPr>
          <w:rFonts w:hint="eastAsia" w:ascii="宋体" w:hAnsi="宋体" w:eastAsia="宋体" w:cs="宋体"/>
          <w:color w:val="auto"/>
          <w:sz w:val="24"/>
          <w:highlight w:val="none"/>
          <w:u w:val="single"/>
          <w:shd w:val="clear" w:color="auto" w:fill="auto"/>
        </w:rPr>
        <w:t xml:space="preserve">                   </w:t>
      </w:r>
    </w:p>
    <w:p w14:paraId="337BD80E">
      <w:pPr>
        <w:bidi w:val="0"/>
        <w:jc w:val="lef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日   期：</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年   月   日</w:t>
      </w:r>
    </w:p>
    <w:p w14:paraId="2D772CCD">
      <w:pPr>
        <w:bidi w:val="0"/>
        <w:jc w:val="left"/>
        <w:rPr>
          <w:rFonts w:hint="eastAsia" w:ascii="宋体" w:hAnsi="宋体" w:eastAsia="宋体" w:cs="宋体"/>
          <w:color w:val="auto"/>
          <w:sz w:val="24"/>
          <w:highlight w:val="none"/>
          <w:shd w:val="clear" w:color="auto" w:fill="auto"/>
        </w:rPr>
      </w:pPr>
    </w:p>
    <w:p w14:paraId="2842EAEF">
      <w:pPr>
        <w:bidi w:val="0"/>
        <w:jc w:val="left"/>
        <w:rPr>
          <w:rFonts w:hint="eastAsia" w:ascii="宋体" w:hAnsi="宋体" w:eastAsia="宋体" w:cs="宋体"/>
          <w:color w:val="auto"/>
          <w:sz w:val="24"/>
          <w:highlight w:val="none"/>
          <w:shd w:val="clear" w:color="auto" w:fill="auto"/>
        </w:rPr>
        <w:sectPr>
          <w:pgSz w:w="11906" w:h="16838"/>
          <w:pgMar w:top="1440" w:right="1800" w:bottom="873" w:left="1800" w:header="1020" w:footer="992" w:gutter="0"/>
          <w:pgNumType w:fmt="decimal"/>
          <w:cols w:space="720" w:num="1"/>
          <w:docGrid w:type="lines" w:linePitch="312" w:charSpace="0"/>
        </w:sectPr>
      </w:pPr>
    </w:p>
    <w:p w14:paraId="0C306B99">
      <w:pPr>
        <w:bidi w:val="0"/>
        <w:jc w:val="center"/>
        <w:rPr>
          <w:rFonts w:hint="eastAsia" w:ascii="宋体" w:hAnsi="宋体" w:eastAsia="宋体" w:cs="宋体"/>
          <w:b/>
          <w:color w:val="auto"/>
          <w:sz w:val="32"/>
          <w:szCs w:val="32"/>
          <w:highlight w:val="none"/>
          <w:shd w:val="clear" w:color="auto" w:fill="auto"/>
        </w:rPr>
      </w:pPr>
      <w:r>
        <w:rPr>
          <w:rFonts w:hint="eastAsia" w:ascii="宋体" w:hAnsi="宋体" w:eastAsia="宋体" w:cs="宋体"/>
          <w:b/>
          <w:color w:val="auto"/>
          <w:sz w:val="32"/>
          <w:szCs w:val="32"/>
          <w:highlight w:val="none"/>
          <w:shd w:val="clear" w:color="auto" w:fill="auto"/>
          <w:lang w:val="en-US" w:eastAsia="zh-CN"/>
        </w:rPr>
        <w:t xml:space="preserve">第三部分 </w:t>
      </w:r>
      <w:r>
        <w:rPr>
          <w:rFonts w:hint="eastAsia" w:ascii="宋体" w:hAnsi="宋体" w:eastAsia="宋体" w:cs="宋体"/>
          <w:b/>
          <w:color w:val="auto"/>
          <w:sz w:val="32"/>
          <w:szCs w:val="32"/>
          <w:highlight w:val="none"/>
          <w:shd w:val="clear" w:color="auto" w:fill="auto"/>
          <w:lang w:eastAsia="zh-CN"/>
        </w:rPr>
        <w:t>供应商</w:t>
      </w:r>
      <w:r>
        <w:rPr>
          <w:rFonts w:hint="eastAsia" w:ascii="宋体" w:hAnsi="宋体" w:eastAsia="宋体" w:cs="宋体"/>
          <w:b/>
          <w:color w:val="auto"/>
          <w:sz w:val="32"/>
          <w:szCs w:val="32"/>
          <w:highlight w:val="none"/>
          <w:shd w:val="clear" w:color="auto" w:fill="auto"/>
        </w:rPr>
        <w:t>资格证明文件</w:t>
      </w:r>
    </w:p>
    <w:p w14:paraId="00B56BFE">
      <w:pPr>
        <w:spacing w:line="360" w:lineRule="auto"/>
        <w:jc w:val="cente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pP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（依据资格要求逐条响应，格式自拟）</w:t>
      </w:r>
    </w:p>
    <w:p w14:paraId="104E55D9">
      <w:pPr>
        <w:spacing w:line="360" w:lineRule="atLeast"/>
        <w:jc w:val="center"/>
        <w:rPr>
          <w:rFonts w:hint="eastAsia" w:ascii="宋体" w:hAnsi="宋体" w:eastAsia="宋体" w:cs="宋体"/>
          <w:b/>
          <w:color w:val="auto"/>
          <w:sz w:val="32"/>
          <w:szCs w:val="32"/>
          <w:highlight w:val="none"/>
          <w:shd w:val="clear" w:color="auto" w:fill="auto"/>
        </w:rPr>
      </w:pPr>
      <w:r>
        <w:rPr>
          <w:rFonts w:hint="eastAsia" w:ascii="宋体" w:hAnsi="宋体" w:eastAsia="宋体" w:cs="宋体"/>
          <w:b/>
          <w:color w:val="auto"/>
          <w:sz w:val="32"/>
          <w:szCs w:val="32"/>
          <w:highlight w:val="none"/>
          <w:shd w:val="clear" w:color="auto" w:fill="auto"/>
        </w:rPr>
        <w:br w:type="page"/>
      </w:r>
      <w:r>
        <w:rPr>
          <w:rFonts w:hint="eastAsia" w:ascii="宋体" w:hAnsi="宋体" w:eastAsia="宋体" w:cs="宋体"/>
          <w:b/>
          <w:color w:val="auto"/>
          <w:sz w:val="32"/>
          <w:szCs w:val="32"/>
          <w:highlight w:val="none"/>
          <w:shd w:val="clear" w:color="auto" w:fill="auto"/>
        </w:rPr>
        <w:t>具有履行合同所必需的设备和专业技术能力的承诺函</w:t>
      </w:r>
    </w:p>
    <w:p w14:paraId="38F324E4">
      <w:pPr>
        <w:spacing w:line="360" w:lineRule="atLeast"/>
        <w:jc w:val="left"/>
        <w:rPr>
          <w:rFonts w:hint="eastAsia" w:ascii="宋体" w:hAnsi="宋体" w:eastAsia="宋体" w:cs="宋体"/>
          <w:color w:val="auto"/>
          <w:sz w:val="24"/>
          <w:highlight w:val="none"/>
          <w:shd w:val="clear" w:color="auto" w:fill="auto"/>
        </w:rPr>
      </w:pPr>
    </w:p>
    <w:p w14:paraId="075E110F">
      <w:pPr>
        <w:pStyle w:val="23"/>
        <w:widowControl w:val="0"/>
        <w:spacing w:line="440" w:lineRule="exact"/>
        <w:ind w:firstLine="170" w:firstLineChars="71"/>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致：</w:t>
      </w:r>
      <w:r>
        <w:rPr>
          <w:rFonts w:hint="eastAsia" w:ascii="宋体" w:hAnsi="宋体" w:eastAsia="宋体" w:cs="宋体"/>
          <w:color w:val="auto"/>
          <w:kern w:val="0"/>
          <w:sz w:val="24"/>
          <w:highlight w:val="none"/>
          <w:shd w:val="clear" w:color="auto" w:fill="auto"/>
          <w:lang w:eastAsia="zh-CN"/>
        </w:rPr>
        <w:t>（</w:t>
      </w:r>
      <w:r>
        <w:rPr>
          <w:rFonts w:hint="eastAsia" w:ascii="宋体" w:hAnsi="宋体" w:eastAsia="宋体" w:cs="宋体"/>
          <w:b w:val="0"/>
          <w:bCs/>
          <w:color w:val="auto"/>
          <w:sz w:val="24"/>
          <w:szCs w:val="24"/>
          <w:highlight w:val="none"/>
          <w:shd w:val="clear" w:color="auto" w:fill="auto"/>
          <w:lang w:val="en-US" w:eastAsia="zh-CN"/>
        </w:rPr>
        <w:t>采购人</w:t>
      </w:r>
      <w:r>
        <w:rPr>
          <w:rFonts w:hint="eastAsia" w:ascii="宋体" w:hAnsi="宋体" w:eastAsia="宋体" w:cs="宋体"/>
          <w:color w:val="auto"/>
          <w:kern w:val="0"/>
          <w:sz w:val="24"/>
          <w:highlight w:val="none"/>
          <w:shd w:val="clear" w:color="auto" w:fill="auto"/>
          <w:lang w:eastAsia="zh-CN"/>
        </w:rPr>
        <w:t>）</w:t>
      </w:r>
    </w:p>
    <w:p w14:paraId="52BB3F30">
      <w:pPr>
        <w:pStyle w:val="23"/>
        <w:widowControl w:val="0"/>
        <w:spacing w:line="440" w:lineRule="exact"/>
        <w:ind w:firstLine="530" w:firstLineChars="221"/>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我公司</w:t>
      </w:r>
      <w:r>
        <w:rPr>
          <w:rFonts w:hint="eastAsia" w:ascii="宋体" w:hAnsi="宋体" w:eastAsia="宋体" w:cs="宋体"/>
          <w:color w:val="000000"/>
          <w:sz w:val="24"/>
          <w:szCs w:val="24"/>
          <w:highlight w:val="none"/>
          <w:u w:val="single"/>
        </w:rPr>
        <w:t xml:space="preserve">       （供应商名称）       </w:t>
      </w:r>
      <w:r>
        <w:rPr>
          <w:rFonts w:hint="eastAsia" w:ascii="宋体" w:hAnsi="宋体" w:eastAsia="宋体" w:cs="宋体"/>
          <w:color w:val="000000"/>
          <w:sz w:val="24"/>
          <w:szCs w:val="24"/>
          <w:highlight w:val="none"/>
        </w:rPr>
        <w:t>，就参加</w:t>
      </w:r>
      <w:r>
        <w:rPr>
          <w:rFonts w:hint="eastAsia" w:ascii="宋体" w:hAnsi="宋体" w:eastAsia="宋体" w:cs="宋体"/>
          <w:color w:val="000000"/>
          <w:sz w:val="24"/>
          <w:szCs w:val="24"/>
          <w:highlight w:val="none"/>
          <w:u w:val="single"/>
        </w:rPr>
        <w:t xml:space="preserve">      （采购项目名称）    </w:t>
      </w:r>
      <w:r>
        <w:rPr>
          <w:rFonts w:hint="eastAsia" w:ascii="宋体" w:hAnsi="宋体" w:eastAsia="宋体" w:cs="宋体"/>
          <w:color w:val="000000"/>
          <w:sz w:val="24"/>
          <w:szCs w:val="24"/>
          <w:highlight w:val="none"/>
        </w:rPr>
        <w:t>投标事宜，我公司完全理解招标文件所要求的各项技术商务要求。若我方中标，我方郑重承诺：</w:t>
      </w:r>
    </w:p>
    <w:p w14:paraId="23F154C0">
      <w:pPr>
        <w:pStyle w:val="23"/>
        <w:widowControl w:val="0"/>
        <w:spacing w:line="440" w:lineRule="exact"/>
        <w:ind w:firstLine="530" w:firstLineChars="221"/>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我公司具有履行合同所必需的设备和专业技术能力；</w:t>
      </w:r>
    </w:p>
    <w:p w14:paraId="40F1C74A">
      <w:pPr>
        <w:pStyle w:val="23"/>
        <w:widowControl w:val="0"/>
        <w:spacing w:line="440" w:lineRule="exact"/>
        <w:ind w:firstLine="530" w:firstLineChars="221"/>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本承诺真实有效，若经查实存在不实情况。本公司愿意接受政府有关部门的相应处罚，并愿意承担由此带来的法律后果。</w:t>
      </w:r>
    </w:p>
    <w:p w14:paraId="59016E05">
      <w:pPr>
        <w:pStyle w:val="23"/>
        <w:widowControl w:val="0"/>
        <w:spacing w:line="440" w:lineRule="exact"/>
        <w:ind w:firstLine="530" w:firstLineChars="221"/>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特此承诺！</w:t>
      </w:r>
    </w:p>
    <w:p w14:paraId="5F4CC25D">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lang w:eastAsia="zh-CN"/>
        </w:rPr>
        <w:t>供应商</w:t>
      </w:r>
      <w:r>
        <w:rPr>
          <w:rFonts w:hint="eastAsia" w:ascii="宋体" w:hAnsi="宋体" w:eastAsia="宋体" w:cs="宋体"/>
          <w:color w:val="auto"/>
          <w:sz w:val="24"/>
          <w:highlight w:val="none"/>
          <w:shd w:val="clear" w:color="auto" w:fill="auto"/>
        </w:rPr>
        <w:t>全称：</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（公章）</w:t>
      </w:r>
    </w:p>
    <w:p w14:paraId="48EF3EE7">
      <w:pPr>
        <w:kinsoku w:val="0"/>
        <w:spacing w:line="500" w:lineRule="exact"/>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法定代表人或被授权人（签字或盖章）：</w:t>
      </w:r>
      <w:r>
        <w:rPr>
          <w:rFonts w:hint="eastAsia" w:ascii="宋体" w:hAnsi="宋体" w:eastAsia="宋体" w:cs="宋体"/>
          <w:color w:val="auto"/>
          <w:sz w:val="24"/>
          <w:highlight w:val="none"/>
          <w:u w:val="single"/>
          <w:shd w:val="clear" w:color="auto" w:fill="auto"/>
        </w:rPr>
        <w:t xml:space="preserve">                   </w:t>
      </w:r>
    </w:p>
    <w:p w14:paraId="103BE317">
      <w:pPr>
        <w:spacing w:line="480" w:lineRule="auto"/>
        <w:jc w:val="lef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日   期：</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年   月   日</w:t>
      </w:r>
    </w:p>
    <w:p w14:paraId="4CA8C796">
      <w:pPr>
        <w:pStyle w:val="9"/>
        <w:numPr>
          <w:ilvl w:val="0"/>
          <w:numId w:val="0"/>
        </w:numPr>
        <w:spacing w:line="360" w:lineRule="auto"/>
        <w:rPr>
          <w:rFonts w:hint="eastAsia" w:ascii="宋体" w:hAnsi="宋体" w:eastAsia="宋体" w:cs="宋体"/>
          <w:color w:val="auto"/>
          <w:sz w:val="21"/>
          <w:szCs w:val="21"/>
          <w:highlight w:val="none"/>
          <w:shd w:val="clear" w:color="auto" w:fill="auto"/>
        </w:rPr>
      </w:pPr>
    </w:p>
    <w:p w14:paraId="13AC2294">
      <w:pPr>
        <w:pStyle w:val="9"/>
        <w:numPr>
          <w:ilvl w:val="0"/>
          <w:numId w:val="0"/>
        </w:numPr>
        <w:spacing w:line="360" w:lineRule="auto"/>
        <w:ind w:left="630" w:leftChars="0"/>
        <w:jc w:val="center"/>
        <w:rPr>
          <w:rFonts w:hint="eastAsia" w:ascii="宋体" w:hAnsi="宋体" w:eastAsia="宋体" w:cs="宋体"/>
          <w:color w:val="auto"/>
          <w:highlight w:val="none"/>
          <w:u w:val="single"/>
          <w:shd w:val="clear" w:color="auto" w:fill="auto"/>
        </w:rPr>
      </w:pPr>
      <w:r>
        <w:rPr>
          <w:rFonts w:hint="eastAsia" w:ascii="宋体" w:hAnsi="宋体" w:eastAsia="宋体" w:cs="宋体"/>
          <w:color w:val="auto"/>
          <w:sz w:val="24"/>
          <w:szCs w:val="24"/>
          <w:highlight w:val="none"/>
          <w:shd w:val="clear" w:color="auto" w:fill="auto"/>
        </w:rPr>
        <w:br w:type="page"/>
      </w:r>
      <w:r>
        <w:rPr>
          <w:rFonts w:hint="eastAsia" w:ascii="宋体" w:hAnsi="宋体" w:eastAsia="宋体" w:cs="宋体"/>
          <w:b/>
          <w:color w:val="auto"/>
          <w:sz w:val="32"/>
          <w:szCs w:val="32"/>
          <w:highlight w:val="none"/>
          <w:shd w:val="clear" w:color="auto" w:fill="auto"/>
        </w:rPr>
        <w:t>法定代表人证明书与法定代表人授权书</w:t>
      </w:r>
    </w:p>
    <w:p w14:paraId="00987EAA">
      <w:pPr>
        <w:tabs>
          <w:tab w:val="left" w:pos="210"/>
        </w:tabs>
        <w:spacing w:line="320" w:lineRule="exact"/>
        <w:jc w:val="center"/>
        <w:rPr>
          <w:rFonts w:hint="eastAsia" w:ascii="宋体" w:hAnsi="宋体" w:eastAsia="宋体" w:cs="宋体"/>
          <w:b/>
          <w:color w:val="auto"/>
          <w:kern w:val="0"/>
          <w:sz w:val="32"/>
          <w:szCs w:val="32"/>
          <w:highlight w:val="none"/>
          <w:shd w:val="clear" w:color="auto" w:fill="auto"/>
        </w:rPr>
      </w:pPr>
    </w:p>
    <w:p w14:paraId="51AFBA3D">
      <w:pPr>
        <w:keepNext w:val="0"/>
        <w:keepLines w:val="0"/>
        <w:pageBreakBefore w:val="0"/>
        <w:widowControl w:val="0"/>
        <w:tabs>
          <w:tab w:val="left" w:pos="210"/>
        </w:tabs>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kern w:val="0"/>
          <w:sz w:val="32"/>
          <w:szCs w:val="32"/>
          <w:highlight w:val="none"/>
          <w:shd w:val="clear" w:color="auto" w:fill="auto"/>
        </w:rPr>
      </w:pPr>
      <w:r>
        <w:rPr>
          <w:rFonts w:hint="eastAsia" w:ascii="宋体" w:hAnsi="宋体" w:eastAsia="宋体" w:cs="宋体"/>
          <w:b/>
          <w:color w:val="auto"/>
          <w:kern w:val="0"/>
          <w:sz w:val="32"/>
          <w:szCs w:val="32"/>
          <w:highlight w:val="none"/>
          <w:shd w:val="clear" w:color="auto" w:fill="auto"/>
        </w:rPr>
        <w:t xml:space="preserve"> 法定代表人证明书</w:t>
      </w:r>
    </w:p>
    <w:p w14:paraId="7D2F99C7">
      <w:pPr>
        <w:tabs>
          <w:tab w:val="left" w:pos="210"/>
        </w:tabs>
        <w:spacing w:line="320" w:lineRule="exact"/>
        <w:jc w:val="center"/>
        <w:rPr>
          <w:rFonts w:hint="eastAsia" w:ascii="宋体" w:hAnsi="宋体" w:eastAsia="宋体" w:cs="宋体"/>
          <w:b/>
          <w:color w:val="auto"/>
          <w:kern w:val="0"/>
          <w:sz w:val="32"/>
          <w:szCs w:val="32"/>
          <w:highlight w:val="none"/>
          <w:shd w:val="clear" w:color="auto" w:fill="auto"/>
        </w:rPr>
      </w:pPr>
    </w:p>
    <w:tbl>
      <w:tblPr>
        <w:tblStyle w:val="15"/>
        <w:tblW w:w="93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17813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221F3F53">
            <w:pPr>
              <w:spacing w:line="360" w:lineRule="auto"/>
              <w:jc w:val="left"/>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致：</w:t>
            </w:r>
            <w:r>
              <w:rPr>
                <w:rFonts w:hint="eastAsia" w:ascii="宋体" w:hAnsi="宋体" w:eastAsia="宋体" w:cs="宋体"/>
                <w:color w:val="auto"/>
                <w:kern w:val="0"/>
                <w:sz w:val="24"/>
                <w:highlight w:val="none"/>
                <w:shd w:val="clear" w:color="auto" w:fill="auto"/>
                <w:lang w:eastAsia="zh-CN"/>
              </w:rPr>
              <w:t>（</w:t>
            </w:r>
            <w:r>
              <w:rPr>
                <w:rFonts w:hint="eastAsia" w:ascii="宋体" w:hAnsi="宋体" w:eastAsia="宋体" w:cs="宋体"/>
                <w:b w:val="0"/>
                <w:bCs/>
                <w:color w:val="auto"/>
                <w:sz w:val="24"/>
                <w:szCs w:val="24"/>
                <w:highlight w:val="none"/>
                <w:shd w:val="clear" w:color="auto" w:fill="auto"/>
                <w:lang w:val="en-US" w:eastAsia="zh-CN"/>
              </w:rPr>
              <w:t>采购人</w:t>
            </w:r>
            <w:r>
              <w:rPr>
                <w:rFonts w:hint="eastAsia" w:ascii="宋体" w:hAnsi="宋体" w:eastAsia="宋体" w:cs="宋体"/>
                <w:color w:val="auto"/>
                <w:kern w:val="0"/>
                <w:sz w:val="24"/>
                <w:highlight w:val="none"/>
                <w:shd w:val="clear" w:color="auto" w:fill="auto"/>
                <w:lang w:eastAsia="zh-CN"/>
              </w:rPr>
              <w:t>）</w:t>
            </w:r>
          </w:p>
        </w:tc>
      </w:tr>
      <w:tr w14:paraId="3B05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21259B05">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企</w:t>
            </w:r>
          </w:p>
          <w:p w14:paraId="1640D5FC">
            <w:pPr>
              <w:tabs>
                <w:tab w:val="left" w:pos="210"/>
              </w:tabs>
              <w:spacing w:line="320" w:lineRule="exact"/>
              <w:jc w:val="center"/>
              <w:rPr>
                <w:rFonts w:hint="eastAsia" w:ascii="宋体" w:hAnsi="宋体" w:eastAsia="宋体" w:cs="宋体"/>
                <w:color w:val="auto"/>
                <w:kern w:val="0"/>
                <w:sz w:val="24"/>
                <w:highlight w:val="none"/>
                <w:shd w:val="clear" w:color="auto" w:fill="auto"/>
              </w:rPr>
            </w:pPr>
          </w:p>
          <w:p w14:paraId="454C17B6">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业</w:t>
            </w:r>
          </w:p>
          <w:p w14:paraId="59795D21">
            <w:pPr>
              <w:tabs>
                <w:tab w:val="left" w:pos="210"/>
              </w:tabs>
              <w:spacing w:line="320" w:lineRule="exact"/>
              <w:jc w:val="center"/>
              <w:rPr>
                <w:rFonts w:hint="eastAsia" w:ascii="宋体" w:hAnsi="宋体" w:eastAsia="宋体" w:cs="宋体"/>
                <w:color w:val="auto"/>
                <w:kern w:val="0"/>
                <w:sz w:val="24"/>
                <w:highlight w:val="none"/>
                <w:shd w:val="clear" w:color="auto" w:fill="auto"/>
              </w:rPr>
            </w:pPr>
          </w:p>
          <w:p w14:paraId="1FD99D29">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信</w:t>
            </w:r>
          </w:p>
          <w:p w14:paraId="517E981F">
            <w:pPr>
              <w:tabs>
                <w:tab w:val="left" w:pos="210"/>
              </w:tabs>
              <w:spacing w:line="320" w:lineRule="exact"/>
              <w:jc w:val="center"/>
              <w:rPr>
                <w:rFonts w:hint="eastAsia" w:ascii="宋体" w:hAnsi="宋体" w:eastAsia="宋体" w:cs="宋体"/>
                <w:color w:val="auto"/>
                <w:kern w:val="0"/>
                <w:sz w:val="24"/>
                <w:highlight w:val="none"/>
                <w:shd w:val="clear" w:color="auto" w:fill="auto"/>
              </w:rPr>
            </w:pPr>
          </w:p>
          <w:p w14:paraId="34FD6AD3">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息</w:t>
            </w:r>
          </w:p>
        </w:tc>
        <w:tc>
          <w:tcPr>
            <w:tcW w:w="2360" w:type="dxa"/>
            <w:noWrap w:val="0"/>
            <w:vAlign w:val="center"/>
          </w:tcPr>
          <w:p w14:paraId="4931B8C9">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企业名称</w:t>
            </w:r>
          </w:p>
        </w:tc>
        <w:tc>
          <w:tcPr>
            <w:tcW w:w="6131" w:type="dxa"/>
            <w:gridSpan w:val="4"/>
            <w:noWrap w:val="0"/>
            <w:vAlign w:val="center"/>
          </w:tcPr>
          <w:p w14:paraId="7F518571">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r>
      <w:tr w14:paraId="23F2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76304C9E">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c>
          <w:tcPr>
            <w:tcW w:w="2360" w:type="dxa"/>
            <w:noWrap w:val="0"/>
            <w:vAlign w:val="center"/>
          </w:tcPr>
          <w:p w14:paraId="70EE0D8D">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法定地址</w:t>
            </w:r>
          </w:p>
        </w:tc>
        <w:tc>
          <w:tcPr>
            <w:tcW w:w="6131" w:type="dxa"/>
            <w:gridSpan w:val="4"/>
            <w:noWrap w:val="0"/>
            <w:vAlign w:val="center"/>
          </w:tcPr>
          <w:p w14:paraId="7ED30ADE">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r>
      <w:tr w14:paraId="085E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57D6294F">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c>
          <w:tcPr>
            <w:tcW w:w="2360" w:type="dxa"/>
            <w:noWrap w:val="0"/>
            <w:vAlign w:val="center"/>
          </w:tcPr>
          <w:p w14:paraId="4242EF2F">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邮政编码</w:t>
            </w:r>
          </w:p>
        </w:tc>
        <w:tc>
          <w:tcPr>
            <w:tcW w:w="6131" w:type="dxa"/>
            <w:gridSpan w:val="4"/>
            <w:noWrap w:val="0"/>
            <w:vAlign w:val="center"/>
          </w:tcPr>
          <w:p w14:paraId="43EFF3D1">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r>
      <w:tr w14:paraId="669F3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18F4618A">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c>
          <w:tcPr>
            <w:tcW w:w="2360" w:type="dxa"/>
            <w:noWrap w:val="0"/>
            <w:vAlign w:val="center"/>
          </w:tcPr>
          <w:p w14:paraId="523F27D2">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统一社会信用代码</w:t>
            </w:r>
          </w:p>
        </w:tc>
        <w:tc>
          <w:tcPr>
            <w:tcW w:w="6131" w:type="dxa"/>
            <w:gridSpan w:val="4"/>
            <w:noWrap w:val="0"/>
            <w:vAlign w:val="center"/>
          </w:tcPr>
          <w:p w14:paraId="67409533">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r>
      <w:tr w14:paraId="29F9B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25C33DB9">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法定代表人</w:t>
            </w:r>
          </w:p>
        </w:tc>
        <w:tc>
          <w:tcPr>
            <w:tcW w:w="2360" w:type="dxa"/>
            <w:noWrap w:val="0"/>
            <w:vAlign w:val="center"/>
          </w:tcPr>
          <w:p w14:paraId="33BCB414">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姓名</w:t>
            </w:r>
          </w:p>
        </w:tc>
        <w:tc>
          <w:tcPr>
            <w:tcW w:w="1975" w:type="dxa"/>
            <w:gridSpan w:val="2"/>
            <w:noWrap w:val="0"/>
            <w:vAlign w:val="center"/>
          </w:tcPr>
          <w:p w14:paraId="008D7BBD">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c>
          <w:tcPr>
            <w:tcW w:w="2077" w:type="dxa"/>
            <w:noWrap w:val="0"/>
            <w:vAlign w:val="center"/>
          </w:tcPr>
          <w:p w14:paraId="2B5A5E37">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性别</w:t>
            </w:r>
          </w:p>
        </w:tc>
        <w:tc>
          <w:tcPr>
            <w:tcW w:w="2079" w:type="dxa"/>
            <w:noWrap w:val="0"/>
            <w:vAlign w:val="center"/>
          </w:tcPr>
          <w:p w14:paraId="3D9BBB5C">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r>
      <w:tr w14:paraId="791A1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737B8EAC">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c>
          <w:tcPr>
            <w:tcW w:w="2360" w:type="dxa"/>
            <w:noWrap w:val="0"/>
            <w:vAlign w:val="center"/>
          </w:tcPr>
          <w:p w14:paraId="781F6CD6">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职务</w:t>
            </w:r>
          </w:p>
        </w:tc>
        <w:tc>
          <w:tcPr>
            <w:tcW w:w="1975" w:type="dxa"/>
            <w:gridSpan w:val="2"/>
            <w:noWrap w:val="0"/>
            <w:vAlign w:val="center"/>
          </w:tcPr>
          <w:p w14:paraId="5DCFE11E">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c>
          <w:tcPr>
            <w:tcW w:w="2077" w:type="dxa"/>
            <w:noWrap w:val="0"/>
            <w:vAlign w:val="center"/>
          </w:tcPr>
          <w:p w14:paraId="62F3601B">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联系电话</w:t>
            </w:r>
          </w:p>
        </w:tc>
        <w:tc>
          <w:tcPr>
            <w:tcW w:w="2079" w:type="dxa"/>
            <w:noWrap w:val="0"/>
            <w:vAlign w:val="center"/>
          </w:tcPr>
          <w:p w14:paraId="6882B525">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r>
      <w:tr w14:paraId="3DA56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507DFA78">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c>
          <w:tcPr>
            <w:tcW w:w="2360" w:type="dxa"/>
            <w:noWrap w:val="0"/>
            <w:vAlign w:val="center"/>
          </w:tcPr>
          <w:p w14:paraId="7777A1AA">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身份证号</w:t>
            </w:r>
          </w:p>
        </w:tc>
        <w:tc>
          <w:tcPr>
            <w:tcW w:w="6131" w:type="dxa"/>
            <w:gridSpan w:val="4"/>
            <w:noWrap w:val="0"/>
            <w:vAlign w:val="center"/>
          </w:tcPr>
          <w:p w14:paraId="3852364C">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r>
      <w:tr w14:paraId="14CA1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04C12DCD">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法定代表人身份证复印件</w:t>
            </w:r>
          </w:p>
        </w:tc>
        <w:tc>
          <w:tcPr>
            <w:tcW w:w="4157" w:type="dxa"/>
            <w:gridSpan w:val="2"/>
            <w:vMerge w:val="restart"/>
            <w:noWrap w:val="0"/>
            <w:vAlign w:val="center"/>
          </w:tcPr>
          <w:p w14:paraId="36B2B2F2">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（正反面）</w:t>
            </w:r>
          </w:p>
        </w:tc>
        <w:tc>
          <w:tcPr>
            <w:tcW w:w="4334" w:type="dxa"/>
            <w:gridSpan w:val="3"/>
            <w:noWrap w:val="0"/>
            <w:vAlign w:val="center"/>
          </w:tcPr>
          <w:p w14:paraId="288856D9">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法定代表人（</w:t>
            </w:r>
            <w:r>
              <w:rPr>
                <w:rFonts w:hint="eastAsia" w:ascii="宋体" w:hAnsi="宋体" w:eastAsia="宋体" w:cs="宋体"/>
                <w:color w:val="auto"/>
                <w:sz w:val="24"/>
                <w:highlight w:val="none"/>
                <w:shd w:val="clear" w:color="auto" w:fill="auto"/>
              </w:rPr>
              <w:t>签字或盖章</w:t>
            </w:r>
            <w:r>
              <w:rPr>
                <w:rFonts w:hint="eastAsia" w:ascii="宋体" w:hAnsi="宋体" w:eastAsia="宋体" w:cs="宋体"/>
                <w:color w:val="auto"/>
                <w:kern w:val="0"/>
                <w:sz w:val="24"/>
                <w:highlight w:val="none"/>
                <w:shd w:val="clear" w:color="auto" w:fill="auto"/>
              </w:rPr>
              <w:t>）</w:t>
            </w:r>
          </w:p>
        </w:tc>
      </w:tr>
      <w:tr w14:paraId="55DF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1AF64FA6">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c>
          <w:tcPr>
            <w:tcW w:w="4157" w:type="dxa"/>
            <w:gridSpan w:val="2"/>
            <w:vMerge w:val="continue"/>
            <w:noWrap w:val="0"/>
            <w:vAlign w:val="center"/>
          </w:tcPr>
          <w:p w14:paraId="7D819B30">
            <w:pPr>
              <w:tabs>
                <w:tab w:val="left" w:pos="210"/>
              </w:tabs>
              <w:spacing w:line="320" w:lineRule="exact"/>
              <w:jc w:val="center"/>
              <w:rPr>
                <w:rFonts w:hint="eastAsia" w:ascii="宋体" w:hAnsi="宋体" w:eastAsia="宋体" w:cs="宋体"/>
                <w:color w:val="auto"/>
                <w:kern w:val="0"/>
                <w:sz w:val="24"/>
                <w:highlight w:val="none"/>
                <w:shd w:val="clear" w:color="auto" w:fill="auto"/>
              </w:rPr>
            </w:pPr>
          </w:p>
        </w:tc>
        <w:tc>
          <w:tcPr>
            <w:tcW w:w="4334" w:type="dxa"/>
            <w:gridSpan w:val="3"/>
            <w:noWrap w:val="0"/>
            <w:vAlign w:val="bottom"/>
          </w:tcPr>
          <w:p w14:paraId="15199AB8">
            <w:pPr>
              <w:tabs>
                <w:tab w:val="left" w:pos="210"/>
              </w:tabs>
              <w:spacing w:line="320" w:lineRule="exac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（公章）</w:t>
            </w:r>
          </w:p>
          <w:p w14:paraId="4E016ABE">
            <w:pPr>
              <w:tabs>
                <w:tab w:val="left" w:pos="210"/>
              </w:tabs>
              <w:spacing w:line="320" w:lineRule="exact"/>
              <w:jc w:val="center"/>
              <w:rPr>
                <w:rFonts w:hint="eastAsia" w:ascii="宋体" w:hAnsi="宋体" w:eastAsia="宋体" w:cs="宋体"/>
                <w:color w:val="auto"/>
                <w:kern w:val="0"/>
                <w:sz w:val="24"/>
                <w:highlight w:val="none"/>
                <w:shd w:val="clear" w:color="auto" w:fill="auto"/>
              </w:rPr>
            </w:pPr>
          </w:p>
          <w:p w14:paraId="640F031C">
            <w:pPr>
              <w:tabs>
                <w:tab w:val="left" w:pos="210"/>
              </w:tabs>
              <w:spacing w:line="320" w:lineRule="exact"/>
              <w:jc w:val="center"/>
              <w:rPr>
                <w:rFonts w:hint="eastAsia" w:ascii="宋体" w:hAnsi="宋体" w:eastAsia="宋体" w:cs="宋体"/>
                <w:color w:val="auto"/>
                <w:kern w:val="0"/>
                <w:sz w:val="24"/>
                <w:highlight w:val="none"/>
                <w:shd w:val="clear" w:color="auto" w:fill="auto"/>
              </w:rPr>
            </w:pPr>
          </w:p>
          <w:p w14:paraId="7BE3A22C">
            <w:pPr>
              <w:tabs>
                <w:tab w:val="left" w:pos="210"/>
              </w:tabs>
              <w:spacing w:line="320" w:lineRule="exact"/>
              <w:jc w:val="center"/>
              <w:rPr>
                <w:rFonts w:hint="eastAsia" w:ascii="宋体" w:hAnsi="宋体" w:eastAsia="宋体" w:cs="宋体"/>
                <w:color w:val="auto"/>
                <w:kern w:val="0"/>
                <w:sz w:val="24"/>
                <w:highlight w:val="none"/>
                <w:shd w:val="clear" w:color="auto" w:fill="auto"/>
              </w:rPr>
            </w:pPr>
          </w:p>
          <w:p w14:paraId="1BFEF947">
            <w:pPr>
              <w:tabs>
                <w:tab w:val="left" w:pos="210"/>
              </w:tabs>
              <w:spacing w:line="320" w:lineRule="exact"/>
              <w:jc w:val="right"/>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 xml:space="preserve">年  月  日 </w:t>
            </w:r>
          </w:p>
        </w:tc>
      </w:tr>
    </w:tbl>
    <w:p w14:paraId="3752816C">
      <w:pPr>
        <w:tabs>
          <w:tab w:val="left" w:pos="210"/>
        </w:tabs>
        <w:spacing w:line="320" w:lineRule="exact"/>
        <w:rPr>
          <w:rFonts w:hint="eastAsia" w:ascii="宋体" w:hAnsi="宋体" w:eastAsia="宋体" w:cs="宋体"/>
          <w:b/>
          <w:color w:val="auto"/>
          <w:kern w:val="0"/>
          <w:sz w:val="32"/>
          <w:szCs w:val="32"/>
          <w:highlight w:val="none"/>
          <w:shd w:val="clear" w:color="auto" w:fill="auto"/>
        </w:rPr>
      </w:pPr>
    </w:p>
    <w:p w14:paraId="2E0EF579">
      <w:pPr>
        <w:tabs>
          <w:tab w:val="left" w:pos="210"/>
        </w:tabs>
        <w:spacing w:line="320" w:lineRule="exact"/>
        <w:jc w:val="center"/>
        <w:rPr>
          <w:rFonts w:hint="eastAsia" w:ascii="宋体" w:hAnsi="宋体" w:eastAsia="宋体" w:cs="宋体"/>
          <w:b/>
          <w:color w:val="auto"/>
          <w:kern w:val="0"/>
          <w:sz w:val="32"/>
          <w:szCs w:val="32"/>
          <w:highlight w:val="none"/>
          <w:shd w:val="clear" w:color="auto" w:fill="auto"/>
        </w:rPr>
      </w:pPr>
      <w:r>
        <w:rPr>
          <w:rFonts w:hint="eastAsia" w:ascii="宋体" w:hAnsi="宋体" w:eastAsia="宋体" w:cs="宋体"/>
          <w:color w:val="auto"/>
          <w:kern w:val="0"/>
          <w:sz w:val="24"/>
          <w:highlight w:val="none"/>
          <w:shd w:val="clear" w:color="auto" w:fill="auto"/>
        </w:rPr>
        <w:t>（法定代表人直接投标，只须提供法定代表人证明书及身份证原件）</w:t>
      </w:r>
      <w:r>
        <w:rPr>
          <w:rFonts w:hint="eastAsia" w:ascii="宋体" w:hAnsi="宋体" w:eastAsia="宋体" w:cs="宋体"/>
          <w:b/>
          <w:color w:val="auto"/>
          <w:kern w:val="0"/>
          <w:sz w:val="32"/>
          <w:szCs w:val="32"/>
          <w:highlight w:val="none"/>
          <w:shd w:val="clear" w:color="auto" w:fill="auto"/>
        </w:rPr>
        <w:br w:type="page"/>
      </w:r>
    </w:p>
    <w:p w14:paraId="21A0BD42">
      <w:pPr>
        <w:keepNext w:val="0"/>
        <w:keepLines w:val="0"/>
        <w:pageBreakBefore w:val="0"/>
        <w:widowControl w:val="0"/>
        <w:tabs>
          <w:tab w:val="left" w:pos="210"/>
        </w:tabs>
        <w:kinsoku/>
        <w:wordWrap/>
        <w:overflowPunct/>
        <w:topLinePunct w:val="0"/>
        <w:autoSpaceDE/>
        <w:autoSpaceDN/>
        <w:bidi w:val="0"/>
        <w:adjustRightInd/>
        <w:snapToGrid/>
        <w:spacing w:line="400" w:lineRule="exact"/>
        <w:jc w:val="center"/>
        <w:textAlignment w:val="auto"/>
        <w:rPr>
          <w:rFonts w:hint="eastAsia" w:ascii="宋体" w:hAnsi="宋体" w:eastAsia="宋体" w:cs="宋体"/>
          <w:b/>
          <w:color w:val="auto"/>
          <w:kern w:val="0"/>
          <w:sz w:val="32"/>
          <w:szCs w:val="32"/>
          <w:highlight w:val="none"/>
          <w:shd w:val="clear" w:color="auto" w:fill="auto"/>
        </w:rPr>
      </w:pPr>
      <w:r>
        <w:rPr>
          <w:rFonts w:hint="eastAsia" w:ascii="宋体" w:hAnsi="宋体" w:eastAsia="宋体" w:cs="宋体"/>
          <w:b/>
          <w:color w:val="auto"/>
          <w:kern w:val="0"/>
          <w:sz w:val="32"/>
          <w:szCs w:val="32"/>
          <w:highlight w:val="none"/>
          <w:shd w:val="clear" w:color="auto" w:fill="auto"/>
        </w:rPr>
        <w:t>法定代表人授权书</w:t>
      </w:r>
    </w:p>
    <w:p w14:paraId="31AAEA63">
      <w:pPr>
        <w:spacing w:line="360" w:lineRule="auto"/>
        <w:jc w:val="left"/>
        <w:rPr>
          <w:rFonts w:hint="eastAsia" w:ascii="宋体" w:hAnsi="宋体" w:eastAsia="宋体" w:cs="宋体"/>
          <w:b/>
          <w:bCs/>
          <w:color w:val="auto"/>
          <w:sz w:val="24"/>
          <w:szCs w:val="24"/>
          <w:highlight w:val="none"/>
          <w:shd w:val="clear" w:color="auto" w:fill="auto"/>
        </w:rPr>
      </w:pPr>
      <w:r>
        <w:rPr>
          <w:rFonts w:hint="eastAsia" w:ascii="宋体" w:hAnsi="宋体" w:eastAsia="宋体" w:cs="宋体"/>
          <w:color w:val="auto"/>
          <w:kern w:val="0"/>
          <w:sz w:val="24"/>
          <w:highlight w:val="none"/>
          <w:shd w:val="clear" w:color="auto" w:fill="auto"/>
          <w:lang w:eastAsia="zh-CN"/>
        </w:rPr>
        <w:t>（</w:t>
      </w:r>
      <w:r>
        <w:rPr>
          <w:rFonts w:hint="eastAsia" w:ascii="宋体" w:hAnsi="宋体" w:eastAsia="宋体" w:cs="宋体"/>
          <w:b w:val="0"/>
          <w:bCs/>
          <w:color w:val="auto"/>
          <w:sz w:val="24"/>
          <w:szCs w:val="24"/>
          <w:highlight w:val="none"/>
          <w:shd w:val="clear" w:color="auto" w:fill="auto"/>
          <w:lang w:val="en-US" w:eastAsia="zh-CN"/>
        </w:rPr>
        <w:t>采购人）</w:t>
      </w:r>
      <w:r>
        <w:rPr>
          <w:rFonts w:hint="eastAsia" w:ascii="宋体" w:hAnsi="宋体" w:eastAsia="宋体" w:cs="宋体"/>
          <w:color w:val="auto"/>
          <w:sz w:val="24"/>
          <w:szCs w:val="24"/>
          <w:highlight w:val="none"/>
          <w:shd w:val="clear" w:color="auto" w:fill="auto"/>
        </w:rPr>
        <w:t>：</w:t>
      </w:r>
    </w:p>
    <w:p w14:paraId="09CF38EA">
      <w:pPr>
        <w:pStyle w:val="9"/>
        <w:spacing w:line="500" w:lineRule="exact"/>
        <w:ind w:left="-120" w:leftChars="-57" w:firstLine="600" w:firstLineChars="25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本授权书声明：注册于（</w:t>
      </w:r>
      <w:r>
        <w:rPr>
          <w:rFonts w:hint="eastAsia" w:ascii="宋体" w:hAnsi="宋体" w:eastAsia="宋体" w:cs="宋体"/>
          <w:color w:val="auto"/>
          <w:sz w:val="24"/>
          <w:szCs w:val="24"/>
          <w:highlight w:val="none"/>
          <w:u w:val="single"/>
          <w:shd w:val="clear" w:color="auto" w:fill="auto"/>
        </w:rPr>
        <w:t xml:space="preserve"> 市场监督管理局名称）之（委托单位全称） </w:t>
      </w:r>
      <w:r>
        <w:rPr>
          <w:rFonts w:hint="eastAsia" w:ascii="宋体" w:hAnsi="宋体" w:eastAsia="宋体" w:cs="宋体"/>
          <w:color w:val="auto"/>
          <w:sz w:val="24"/>
          <w:szCs w:val="24"/>
          <w:highlight w:val="none"/>
          <w:shd w:val="clear" w:color="auto" w:fill="auto"/>
        </w:rPr>
        <w:t>的法定代表人</w:t>
      </w:r>
      <w:r>
        <w:rPr>
          <w:rFonts w:hint="eastAsia" w:ascii="宋体" w:hAnsi="宋体" w:eastAsia="宋体" w:cs="宋体"/>
          <w:color w:val="auto"/>
          <w:sz w:val="24"/>
          <w:szCs w:val="24"/>
          <w:highlight w:val="none"/>
          <w:u w:val="single"/>
          <w:shd w:val="clear" w:color="auto" w:fill="auto"/>
        </w:rPr>
        <w:t>（姓名、性别、职务、身份证号）</w:t>
      </w:r>
      <w:r>
        <w:rPr>
          <w:rFonts w:hint="eastAsia" w:ascii="宋体" w:hAnsi="宋体" w:eastAsia="宋体" w:cs="宋体"/>
          <w:color w:val="auto"/>
          <w:sz w:val="24"/>
          <w:szCs w:val="24"/>
          <w:highlight w:val="none"/>
          <w:shd w:val="clear" w:color="auto" w:fill="auto"/>
        </w:rPr>
        <w:t>授权</w:t>
      </w:r>
      <w:r>
        <w:rPr>
          <w:rFonts w:hint="eastAsia" w:ascii="宋体" w:hAnsi="宋体" w:eastAsia="宋体" w:cs="宋体"/>
          <w:color w:val="auto"/>
          <w:sz w:val="24"/>
          <w:highlight w:val="none"/>
          <w:shd w:val="clear" w:color="auto" w:fill="auto"/>
        </w:rPr>
        <w:t>本公司的</w:t>
      </w:r>
      <w:r>
        <w:rPr>
          <w:rFonts w:hint="eastAsia" w:ascii="宋体" w:hAnsi="宋体" w:eastAsia="宋体" w:cs="宋体"/>
          <w:color w:val="auto"/>
          <w:sz w:val="24"/>
          <w:szCs w:val="24"/>
          <w:highlight w:val="none"/>
          <w:u w:val="single"/>
          <w:shd w:val="clear" w:color="auto" w:fill="auto"/>
        </w:rPr>
        <w:t>（被授权人姓名、性别、职务、身份证号）</w:t>
      </w:r>
      <w:r>
        <w:rPr>
          <w:rFonts w:hint="eastAsia" w:ascii="宋体" w:hAnsi="宋体" w:eastAsia="宋体" w:cs="宋体"/>
          <w:color w:val="auto"/>
          <w:sz w:val="24"/>
          <w:szCs w:val="24"/>
          <w:highlight w:val="none"/>
          <w:shd w:val="clear" w:color="auto" w:fill="auto"/>
        </w:rPr>
        <w:t>为合法代理人，就贵方组织的有关</w:t>
      </w:r>
      <w:r>
        <w:rPr>
          <w:rFonts w:hint="eastAsia" w:ascii="宋体" w:hAnsi="宋体" w:eastAsia="宋体" w:cs="宋体"/>
          <w:color w:val="auto"/>
          <w:sz w:val="24"/>
          <w:szCs w:val="24"/>
          <w:highlight w:val="none"/>
          <w:u w:val="single"/>
          <w:shd w:val="clear" w:color="auto" w:fill="auto"/>
        </w:rPr>
        <w:t>（项目名称</w:t>
      </w:r>
      <w:r>
        <w:rPr>
          <w:rFonts w:hint="eastAsia" w:ascii="宋体" w:hAnsi="宋体" w:eastAsia="宋体" w:cs="宋体"/>
          <w:color w:val="auto"/>
          <w:sz w:val="24"/>
          <w:szCs w:val="24"/>
          <w:highlight w:val="none"/>
          <w:u w:val="single"/>
          <w:shd w:val="clear" w:color="auto" w:fill="auto"/>
          <w:lang w:eastAsia="zh-CN"/>
        </w:rPr>
        <w:t>）</w:t>
      </w:r>
      <w:r>
        <w:rPr>
          <w:rFonts w:hint="eastAsia" w:ascii="宋体" w:hAnsi="宋体" w:eastAsia="宋体" w:cs="宋体"/>
          <w:color w:val="auto"/>
          <w:sz w:val="24"/>
          <w:szCs w:val="24"/>
          <w:highlight w:val="none"/>
          <w:shd w:val="clear" w:color="auto" w:fill="auto"/>
        </w:rPr>
        <w:t>的投标、洽谈、执行等具体事务，签署全部有关投标文件、文书、协议、合同，本公司对被授权人在本项目中的签名承担全部法律责任。本授权书自开标大会之日起计算有效期为</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日历日。</w:t>
      </w:r>
    </w:p>
    <w:p w14:paraId="1EDC3E0D">
      <w:pPr>
        <w:pStyle w:val="9"/>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委托单位全称：</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 xml:space="preserve">（公章）   </w:t>
      </w:r>
    </w:p>
    <w:p w14:paraId="02512F09">
      <w:pPr>
        <w:pStyle w:val="9"/>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w:t>
      </w:r>
      <w:r>
        <w:rPr>
          <w:rFonts w:hint="eastAsia" w:ascii="宋体" w:hAnsi="宋体" w:eastAsia="宋体" w:cs="宋体"/>
          <w:color w:val="auto"/>
          <w:sz w:val="24"/>
          <w:highlight w:val="none"/>
          <w:shd w:val="clear" w:color="auto" w:fill="auto"/>
        </w:rPr>
        <w:t>签字或盖章</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 xml:space="preserve"> </w:t>
      </w:r>
    </w:p>
    <w:p w14:paraId="1347C8DB">
      <w:pPr>
        <w:pStyle w:val="9"/>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签发日期：</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年</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月</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 xml:space="preserve">日 </w:t>
      </w:r>
    </w:p>
    <w:p w14:paraId="7127AF9C">
      <w:pPr>
        <w:pStyle w:val="9"/>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附：被授权人（</w:t>
      </w:r>
      <w:r>
        <w:rPr>
          <w:rFonts w:hint="eastAsia" w:ascii="宋体" w:hAnsi="宋体" w:eastAsia="宋体" w:cs="宋体"/>
          <w:color w:val="auto"/>
          <w:sz w:val="24"/>
          <w:highlight w:val="none"/>
          <w:shd w:val="clear" w:color="auto" w:fill="auto"/>
        </w:rPr>
        <w:t>签字或盖章</w:t>
      </w:r>
      <w:r>
        <w:rPr>
          <w:rFonts w:hint="eastAsia" w:ascii="宋体" w:hAnsi="宋体" w:eastAsia="宋体" w:cs="宋体"/>
          <w:color w:val="auto"/>
          <w:sz w:val="24"/>
          <w:szCs w:val="24"/>
          <w:highlight w:val="none"/>
          <w:shd w:val="clear" w:color="auto" w:fill="auto"/>
        </w:rPr>
        <w:t>）：</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性别：</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职务：</w:t>
      </w:r>
      <w:r>
        <w:rPr>
          <w:rFonts w:hint="eastAsia" w:ascii="宋体" w:hAnsi="宋体" w:eastAsia="宋体" w:cs="宋体"/>
          <w:color w:val="auto"/>
          <w:sz w:val="24"/>
          <w:szCs w:val="24"/>
          <w:highlight w:val="none"/>
          <w:u w:val="single"/>
          <w:shd w:val="clear" w:color="auto" w:fill="auto"/>
        </w:rPr>
        <w:t xml:space="preserve">         </w:t>
      </w:r>
    </w:p>
    <w:p w14:paraId="43106505">
      <w:pPr>
        <w:pStyle w:val="9"/>
        <w:spacing w:line="500" w:lineRule="exact"/>
        <w:ind w:firstLine="960" w:firstLineChars="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联系地址：</w:t>
      </w:r>
      <w:r>
        <w:rPr>
          <w:rFonts w:hint="eastAsia" w:ascii="宋体" w:hAnsi="宋体" w:eastAsia="宋体" w:cs="宋体"/>
          <w:color w:val="auto"/>
          <w:sz w:val="24"/>
          <w:szCs w:val="24"/>
          <w:highlight w:val="none"/>
          <w:u w:val="single"/>
          <w:shd w:val="clear" w:color="auto" w:fill="auto"/>
        </w:rPr>
        <w:t xml:space="preserve">                                                       </w:t>
      </w:r>
    </w:p>
    <w:p w14:paraId="6C169E35">
      <w:pPr>
        <w:pStyle w:val="9"/>
        <w:spacing w:line="500" w:lineRule="exact"/>
        <w:ind w:firstLine="960" w:firstLineChars="4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rPr>
        <w:t>联系电话：</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传真：</w:t>
      </w:r>
      <w:r>
        <w:rPr>
          <w:rFonts w:hint="eastAsia" w:ascii="宋体" w:hAnsi="宋体" w:eastAsia="宋体" w:cs="宋体"/>
          <w:color w:val="auto"/>
          <w:sz w:val="24"/>
          <w:szCs w:val="24"/>
          <w:highlight w:val="none"/>
          <w:u w:val="single"/>
          <w:shd w:val="clear" w:color="auto" w:fill="auto"/>
        </w:rPr>
        <w:t xml:space="preserve">                           </w:t>
      </w:r>
    </w:p>
    <w:p w14:paraId="70ADEB40">
      <w:pPr>
        <w:pStyle w:val="9"/>
        <w:spacing w:line="500" w:lineRule="exact"/>
        <w:ind w:firstLine="2760" w:firstLineChars="115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法定代表人及被授权人身份证</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FD93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327661C7">
            <w:pPr>
              <w:pStyle w:val="9"/>
              <w:snapToGrid w:val="0"/>
              <w:spacing w:line="500" w:lineRule="exact"/>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法定代表人身份证</w:t>
            </w:r>
            <w:r>
              <w:rPr>
                <w:rFonts w:hint="eastAsia" w:ascii="宋体" w:hAnsi="宋体" w:eastAsia="宋体" w:cs="宋体"/>
                <w:color w:val="auto"/>
                <w:kern w:val="0"/>
                <w:sz w:val="24"/>
                <w:highlight w:val="none"/>
                <w:shd w:val="clear" w:color="auto" w:fill="auto"/>
              </w:rPr>
              <w:t>正反面</w:t>
            </w:r>
          </w:p>
        </w:tc>
        <w:tc>
          <w:tcPr>
            <w:tcW w:w="4213" w:type="dxa"/>
            <w:shd w:val="clear" w:color="auto" w:fill="E0E0E0"/>
            <w:noWrap w:val="0"/>
            <w:vAlign w:val="center"/>
          </w:tcPr>
          <w:p w14:paraId="64D70927">
            <w:pPr>
              <w:pStyle w:val="9"/>
              <w:snapToGrid w:val="0"/>
              <w:spacing w:line="500" w:lineRule="exact"/>
              <w:jc w:val="center"/>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被授权人身份证</w:t>
            </w:r>
            <w:r>
              <w:rPr>
                <w:rFonts w:hint="eastAsia" w:ascii="宋体" w:hAnsi="宋体" w:eastAsia="宋体" w:cs="宋体"/>
                <w:color w:val="auto"/>
                <w:kern w:val="0"/>
                <w:sz w:val="24"/>
                <w:highlight w:val="none"/>
                <w:shd w:val="clear" w:color="auto" w:fill="auto"/>
              </w:rPr>
              <w:t>正反面</w:t>
            </w:r>
          </w:p>
        </w:tc>
      </w:tr>
    </w:tbl>
    <w:p w14:paraId="51C5150E">
      <w:pPr>
        <w:pStyle w:val="9"/>
        <w:spacing w:line="500" w:lineRule="exact"/>
        <w:ind w:firstLine="240" w:firstLineChars="1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说明：1．本授权书有效期自开标大会之日计算不得少于90日历日。</w:t>
      </w:r>
    </w:p>
    <w:p w14:paraId="06820488">
      <w:pPr>
        <w:pStyle w:val="9"/>
        <w:spacing w:line="460" w:lineRule="exact"/>
        <w:ind w:firstLine="960" w:firstLineChars="400"/>
        <w:rPr>
          <w:rFonts w:hint="eastAsia" w:ascii="宋体" w:hAnsi="宋体" w:eastAsia="宋体" w:cs="宋体"/>
          <w:color w:val="auto"/>
          <w:highlight w:val="none"/>
          <w:shd w:val="clear" w:color="auto" w:fill="auto"/>
        </w:rPr>
      </w:pPr>
      <w:r>
        <w:rPr>
          <w:rFonts w:hint="eastAsia" w:ascii="宋体" w:hAnsi="宋体" w:eastAsia="宋体" w:cs="宋体"/>
          <w:color w:val="auto"/>
          <w:sz w:val="24"/>
          <w:szCs w:val="24"/>
          <w:highlight w:val="none"/>
          <w:shd w:val="clear" w:color="auto" w:fill="auto"/>
        </w:rPr>
        <w:t>2．授权书内容填写要明确，文字要工整清楚，涂改无效。</w:t>
      </w:r>
    </w:p>
    <w:p w14:paraId="45985D99">
      <w:pPr>
        <w:tabs>
          <w:tab w:val="left" w:pos="210"/>
        </w:tabs>
        <w:spacing w:line="360" w:lineRule="auto"/>
        <w:jc w:val="center"/>
        <w:outlineLvl w:val="0"/>
        <w:rPr>
          <w:rFonts w:hint="eastAsia" w:ascii="宋体" w:hAnsi="宋体" w:eastAsia="宋体" w:cs="宋体"/>
          <w:b/>
          <w:color w:val="auto"/>
          <w:sz w:val="32"/>
          <w:szCs w:val="32"/>
          <w:highlight w:val="none"/>
          <w:shd w:val="clear" w:color="auto" w:fill="auto"/>
        </w:rPr>
      </w:pPr>
      <w:r>
        <w:rPr>
          <w:rFonts w:hint="eastAsia" w:ascii="宋体" w:hAnsi="宋体" w:eastAsia="宋体" w:cs="宋体"/>
          <w:b/>
          <w:color w:val="auto"/>
          <w:sz w:val="32"/>
          <w:szCs w:val="32"/>
          <w:highlight w:val="none"/>
          <w:shd w:val="clear" w:color="auto" w:fill="auto"/>
        </w:rPr>
        <w:br w:type="page"/>
      </w:r>
      <w:bookmarkStart w:id="203" w:name="_Toc2114"/>
      <w:bookmarkStart w:id="204" w:name="_Toc31990"/>
      <w:bookmarkStart w:id="205" w:name="_Toc392"/>
      <w:bookmarkStart w:id="206" w:name="_Toc25496"/>
      <w:bookmarkStart w:id="207" w:name="_Toc6406"/>
      <w:r>
        <w:rPr>
          <w:rFonts w:hint="eastAsia" w:ascii="宋体" w:hAnsi="宋体" w:eastAsia="宋体" w:cs="宋体"/>
          <w:b/>
          <w:color w:val="auto"/>
          <w:kern w:val="0"/>
          <w:sz w:val="32"/>
          <w:szCs w:val="32"/>
          <w:highlight w:val="none"/>
          <w:shd w:val="clear" w:color="auto" w:fill="auto"/>
        </w:rPr>
        <w:t>参加政府采购活动前3年内，在经营活动中没有重大违法记录的书面声明</w:t>
      </w:r>
      <w:bookmarkEnd w:id="203"/>
      <w:bookmarkEnd w:id="204"/>
      <w:bookmarkEnd w:id="205"/>
      <w:bookmarkEnd w:id="206"/>
      <w:bookmarkEnd w:id="207"/>
    </w:p>
    <w:p w14:paraId="26EAFC71">
      <w:pPr>
        <w:spacing w:line="360" w:lineRule="atLeast"/>
        <w:jc w:val="left"/>
        <w:rPr>
          <w:rFonts w:hint="eastAsia" w:ascii="宋体" w:hAnsi="宋体" w:eastAsia="宋体" w:cs="宋体"/>
          <w:color w:val="auto"/>
          <w:sz w:val="24"/>
          <w:highlight w:val="none"/>
          <w:shd w:val="clear" w:color="auto" w:fill="auto"/>
        </w:rPr>
      </w:pPr>
    </w:p>
    <w:p w14:paraId="1018AC2E">
      <w:pPr>
        <w:spacing w:line="360" w:lineRule="auto"/>
        <w:jc w:val="left"/>
        <w:rPr>
          <w:rFonts w:hint="eastAsia" w:ascii="宋体" w:hAnsi="宋体" w:eastAsia="宋体" w:cs="宋体"/>
          <w:color w:val="auto"/>
          <w:sz w:val="24"/>
          <w:highlight w:val="none"/>
          <w:shd w:val="clear" w:color="auto" w:fill="auto"/>
        </w:rPr>
      </w:pPr>
      <w:r>
        <w:rPr>
          <w:rFonts w:hint="eastAsia" w:ascii="宋体" w:hAnsi="宋体" w:eastAsia="宋体" w:cs="宋体"/>
          <w:color w:val="auto"/>
          <w:kern w:val="0"/>
          <w:sz w:val="24"/>
          <w:highlight w:val="none"/>
          <w:shd w:val="clear" w:color="auto" w:fill="auto"/>
        </w:rPr>
        <w:t>致：</w:t>
      </w:r>
      <w:r>
        <w:rPr>
          <w:rFonts w:hint="eastAsia" w:ascii="宋体" w:hAnsi="宋体" w:eastAsia="宋体" w:cs="宋体"/>
          <w:color w:val="auto"/>
          <w:kern w:val="0"/>
          <w:sz w:val="24"/>
          <w:highlight w:val="none"/>
          <w:shd w:val="clear" w:color="auto" w:fill="auto"/>
          <w:lang w:eastAsia="zh-CN"/>
        </w:rPr>
        <w:t>（</w:t>
      </w:r>
      <w:r>
        <w:rPr>
          <w:rFonts w:hint="eastAsia" w:ascii="宋体" w:hAnsi="宋体" w:eastAsia="宋体" w:cs="宋体"/>
          <w:b w:val="0"/>
          <w:bCs/>
          <w:color w:val="auto"/>
          <w:sz w:val="24"/>
          <w:szCs w:val="24"/>
          <w:highlight w:val="none"/>
          <w:shd w:val="clear" w:color="auto" w:fill="auto"/>
          <w:lang w:val="en-US" w:eastAsia="zh-CN"/>
        </w:rPr>
        <w:t>采购人）</w:t>
      </w:r>
    </w:p>
    <w:p w14:paraId="3CC14834">
      <w:pPr>
        <w:spacing w:line="360" w:lineRule="auto"/>
        <w:ind w:firstLine="480" w:firstLineChars="200"/>
        <w:jc w:val="left"/>
        <w:rPr>
          <w:rFonts w:hint="eastAsia" w:ascii="宋体" w:hAnsi="宋体" w:eastAsia="宋体" w:cs="宋体"/>
          <w:b/>
          <w:color w:val="auto"/>
          <w:sz w:val="32"/>
          <w:szCs w:val="32"/>
          <w:highlight w:val="none"/>
          <w:shd w:val="clear" w:color="auto" w:fill="auto"/>
        </w:rPr>
      </w:pPr>
      <w:r>
        <w:rPr>
          <w:rFonts w:hint="eastAsia" w:ascii="宋体" w:hAnsi="宋体" w:eastAsia="宋体" w:cs="宋体"/>
          <w:color w:val="auto"/>
          <w:sz w:val="24"/>
          <w:highlight w:val="none"/>
          <w:shd w:val="clear" w:color="auto" w:fill="auto"/>
        </w:rPr>
        <w:t>我单位声明参加本次</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bCs/>
          <w:color w:val="auto"/>
          <w:kern w:val="36"/>
          <w:sz w:val="24"/>
          <w:szCs w:val="24"/>
          <w:highlight w:val="none"/>
          <w:u w:val="single"/>
          <w:shd w:val="clear" w:color="auto" w:fill="auto"/>
        </w:rPr>
        <w:t>项目名称</w:t>
      </w:r>
      <w:r>
        <w:rPr>
          <w:rFonts w:hint="eastAsia" w:ascii="宋体" w:hAnsi="宋体" w:eastAsia="宋体" w:cs="宋体"/>
          <w:color w:val="auto"/>
          <w:sz w:val="24"/>
          <w:szCs w:val="24"/>
          <w:highlight w:val="none"/>
          <w:u w:val="single"/>
          <w:shd w:val="clear" w:color="auto" w:fill="auto"/>
        </w:rPr>
        <w:t>）</w:t>
      </w:r>
      <w:r>
        <w:rPr>
          <w:rFonts w:hint="eastAsia" w:ascii="宋体" w:hAnsi="宋体" w:eastAsia="宋体" w:cs="宋体"/>
          <w:color w:val="auto"/>
          <w:sz w:val="24"/>
          <w:highlight w:val="none"/>
          <w:shd w:val="clear" w:color="auto" w:fill="auto"/>
        </w:rPr>
        <w:t>政府采购活动前三年内，在经营活动中没有重大违纪，以及未被列入失信被执行人、未在重大税收违法案件当事人名单及政府采购严重违法失信行为记录名单中。</w:t>
      </w:r>
    </w:p>
    <w:p w14:paraId="4C053047">
      <w:pPr>
        <w:spacing w:line="360" w:lineRule="auto"/>
        <w:ind w:firstLine="424" w:firstLineChars="177"/>
        <w:jc w:val="left"/>
        <w:rPr>
          <w:rFonts w:hint="eastAsia" w:ascii="宋体" w:hAnsi="宋体" w:eastAsia="宋体" w:cs="宋体"/>
          <w:b/>
          <w:color w:val="auto"/>
          <w:sz w:val="32"/>
          <w:szCs w:val="32"/>
          <w:highlight w:val="none"/>
          <w:shd w:val="clear" w:color="auto" w:fill="auto"/>
        </w:rPr>
      </w:pPr>
      <w:r>
        <w:rPr>
          <w:rFonts w:hint="eastAsia" w:ascii="宋体" w:hAnsi="宋体" w:eastAsia="宋体" w:cs="宋体"/>
          <w:color w:val="auto"/>
          <w:sz w:val="24"/>
          <w:highlight w:val="none"/>
          <w:shd w:val="clear" w:color="auto" w:fill="auto"/>
        </w:rPr>
        <w:t>以上如构成虚假，自愿承担相关法律责任。</w:t>
      </w:r>
    </w:p>
    <w:p w14:paraId="5C13D6C7">
      <w:pPr>
        <w:spacing w:line="360" w:lineRule="auto"/>
        <w:jc w:val="left"/>
        <w:rPr>
          <w:rFonts w:hint="eastAsia" w:ascii="宋体" w:hAnsi="宋体" w:eastAsia="宋体" w:cs="宋体"/>
          <w:b/>
          <w:color w:val="auto"/>
          <w:sz w:val="32"/>
          <w:szCs w:val="32"/>
          <w:highlight w:val="none"/>
          <w:shd w:val="clear" w:color="auto" w:fill="auto"/>
        </w:rPr>
      </w:pPr>
    </w:p>
    <w:p w14:paraId="6AED7FF2">
      <w:pPr>
        <w:spacing w:line="360" w:lineRule="auto"/>
        <w:ind w:firstLine="480" w:firstLineChars="200"/>
        <w:jc w:val="lef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特此声明！</w:t>
      </w:r>
    </w:p>
    <w:p w14:paraId="5F6AA335">
      <w:pPr>
        <w:spacing w:line="360" w:lineRule="auto"/>
        <w:ind w:firstLine="480" w:firstLineChars="200"/>
        <w:jc w:val="left"/>
        <w:rPr>
          <w:rFonts w:hint="eastAsia" w:ascii="宋体" w:hAnsi="宋体" w:eastAsia="宋体" w:cs="宋体"/>
          <w:color w:val="auto"/>
          <w:sz w:val="24"/>
          <w:highlight w:val="none"/>
          <w:shd w:val="clear" w:color="auto" w:fill="auto"/>
        </w:rPr>
      </w:pPr>
    </w:p>
    <w:p w14:paraId="1EF1E953">
      <w:pPr>
        <w:spacing w:line="480" w:lineRule="auto"/>
        <w:ind w:firstLine="480" w:firstLineChars="200"/>
        <w:jc w:val="left"/>
        <w:rPr>
          <w:rFonts w:hint="eastAsia" w:ascii="宋体" w:hAnsi="宋体" w:eastAsia="宋体" w:cs="宋体"/>
          <w:color w:val="auto"/>
          <w:sz w:val="24"/>
          <w:highlight w:val="none"/>
          <w:shd w:val="clear" w:color="auto" w:fill="auto"/>
        </w:rPr>
      </w:pPr>
    </w:p>
    <w:p w14:paraId="5E484110">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lang w:eastAsia="zh-CN"/>
        </w:rPr>
        <w:t>供应商</w:t>
      </w:r>
      <w:r>
        <w:rPr>
          <w:rFonts w:hint="eastAsia" w:ascii="宋体" w:hAnsi="宋体" w:eastAsia="宋体" w:cs="宋体"/>
          <w:color w:val="auto"/>
          <w:sz w:val="24"/>
          <w:highlight w:val="none"/>
          <w:shd w:val="clear" w:color="auto" w:fill="auto"/>
        </w:rPr>
        <w:t>全称：</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（公章）</w:t>
      </w:r>
    </w:p>
    <w:p w14:paraId="32AF43F8">
      <w:pPr>
        <w:kinsoku w:val="0"/>
        <w:spacing w:line="500" w:lineRule="exact"/>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法定代表人或被授权人（签字或盖章）：</w:t>
      </w:r>
      <w:r>
        <w:rPr>
          <w:rFonts w:hint="eastAsia" w:ascii="宋体" w:hAnsi="宋体" w:eastAsia="宋体" w:cs="宋体"/>
          <w:color w:val="auto"/>
          <w:sz w:val="24"/>
          <w:highlight w:val="none"/>
          <w:u w:val="single"/>
          <w:shd w:val="clear" w:color="auto" w:fill="auto"/>
        </w:rPr>
        <w:t xml:space="preserve">                   </w:t>
      </w:r>
    </w:p>
    <w:p w14:paraId="33998959">
      <w:pPr>
        <w:spacing w:line="480" w:lineRule="auto"/>
        <w:jc w:val="lef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rPr>
        <w:t>日   期：</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 xml:space="preserve">年   月   日 </w:t>
      </w:r>
    </w:p>
    <w:p w14:paraId="2FBAD5CE">
      <w:pPr>
        <w:spacing w:line="480" w:lineRule="auto"/>
        <w:ind w:firstLine="480" w:firstLineChars="200"/>
        <w:jc w:val="left"/>
        <w:rPr>
          <w:rFonts w:hint="eastAsia" w:ascii="宋体" w:hAnsi="宋体" w:eastAsia="宋体" w:cs="宋体"/>
          <w:color w:val="auto"/>
          <w:sz w:val="24"/>
          <w:highlight w:val="none"/>
          <w:shd w:val="clear" w:color="auto" w:fill="auto"/>
        </w:rPr>
      </w:pPr>
    </w:p>
    <w:p w14:paraId="094E385B">
      <w:pPr>
        <w:spacing w:line="480" w:lineRule="auto"/>
        <w:ind w:firstLine="480" w:firstLineChars="200"/>
        <w:jc w:val="left"/>
        <w:rPr>
          <w:rFonts w:hint="eastAsia" w:ascii="宋体" w:hAnsi="宋体" w:eastAsia="宋体" w:cs="宋体"/>
          <w:color w:val="auto"/>
          <w:sz w:val="24"/>
          <w:highlight w:val="none"/>
          <w:shd w:val="clear" w:color="auto" w:fill="auto"/>
        </w:rPr>
      </w:pPr>
    </w:p>
    <w:p w14:paraId="706C6601">
      <w:pPr>
        <w:spacing w:line="480" w:lineRule="auto"/>
        <w:ind w:firstLine="480" w:firstLineChars="200"/>
        <w:jc w:val="left"/>
        <w:rPr>
          <w:rFonts w:hint="eastAsia" w:ascii="宋体" w:hAnsi="宋体" w:eastAsia="宋体" w:cs="宋体"/>
          <w:color w:val="auto"/>
          <w:sz w:val="24"/>
          <w:highlight w:val="none"/>
          <w:shd w:val="clear" w:color="auto" w:fill="auto"/>
        </w:rPr>
      </w:pPr>
    </w:p>
    <w:p w14:paraId="05BB3021">
      <w:pPr>
        <w:spacing w:line="360" w:lineRule="atLeast"/>
        <w:jc w:val="center"/>
        <w:rPr>
          <w:rFonts w:hint="eastAsia" w:ascii="宋体" w:hAnsi="宋体" w:eastAsia="宋体" w:cs="宋体"/>
          <w:color w:val="auto"/>
          <w:sz w:val="28"/>
          <w:szCs w:val="28"/>
          <w:highlight w:val="none"/>
          <w:shd w:val="clear" w:color="auto" w:fill="auto"/>
        </w:rPr>
      </w:pPr>
    </w:p>
    <w:p w14:paraId="4B99AF21">
      <w:pPr>
        <w:spacing w:line="360" w:lineRule="atLeast"/>
        <w:jc w:val="center"/>
        <w:rPr>
          <w:rFonts w:hint="eastAsia" w:ascii="宋体" w:hAnsi="宋体" w:eastAsia="宋体" w:cs="宋体"/>
          <w:color w:val="auto"/>
          <w:sz w:val="28"/>
          <w:szCs w:val="28"/>
          <w:highlight w:val="none"/>
          <w:shd w:val="clear" w:color="auto" w:fill="auto"/>
        </w:rPr>
      </w:pPr>
    </w:p>
    <w:p w14:paraId="3E59D7AC">
      <w:pPr>
        <w:spacing w:line="360" w:lineRule="atLeast"/>
        <w:jc w:val="center"/>
        <w:rPr>
          <w:rFonts w:hint="eastAsia" w:ascii="宋体" w:hAnsi="宋体" w:eastAsia="宋体" w:cs="宋体"/>
          <w:color w:val="auto"/>
          <w:sz w:val="28"/>
          <w:szCs w:val="28"/>
          <w:highlight w:val="none"/>
          <w:shd w:val="clear" w:color="auto" w:fill="auto"/>
        </w:rPr>
      </w:pPr>
    </w:p>
    <w:p w14:paraId="3E68F4DF">
      <w:pPr>
        <w:bidi w:val="0"/>
        <w:rPr>
          <w:rFonts w:hint="eastAsia" w:ascii="宋体" w:hAnsi="宋体" w:eastAsia="宋体" w:cs="宋体"/>
          <w:color w:val="auto"/>
          <w:highlight w:val="none"/>
          <w:shd w:val="clear" w:color="auto" w:fill="auto"/>
        </w:rPr>
      </w:pPr>
    </w:p>
    <w:p w14:paraId="5D26770E">
      <w:pPr>
        <w:rPr>
          <w:rFonts w:hint="eastAsia" w:ascii="宋体" w:hAnsi="宋体" w:eastAsia="宋体" w:cs="宋体"/>
          <w:color w:val="auto"/>
          <w:highlight w:val="none"/>
          <w:shd w:val="clear" w:color="auto" w:fill="auto"/>
        </w:rPr>
      </w:pPr>
    </w:p>
    <w:p w14:paraId="0A48FA19">
      <w:pPr>
        <w:spacing w:line="360" w:lineRule="atLeast"/>
        <w:jc w:val="center"/>
        <w:rPr>
          <w:rFonts w:hint="eastAsia" w:ascii="宋体" w:hAnsi="宋体" w:eastAsia="宋体" w:cs="宋体"/>
          <w:color w:val="auto"/>
          <w:sz w:val="28"/>
          <w:szCs w:val="28"/>
          <w:highlight w:val="none"/>
          <w:shd w:val="clear" w:color="auto" w:fill="auto"/>
        </w:rPr>
      </w:pPr>
    </w:p>
    <w:p w14:paraId="6A674B7C">
      <w:pPr>
        <w:pStyle w:val="13"/>
        <w:rPr>
          <w:rFonts w:hint="eastAsia" w:ascii="宋体" w:hAnsi="宋体" w:eastAsia="宋体" w:cs="宋体"/>
          <w:color w:val="auto"/>
          <w:highlight w:val="none"/>
          <w:shd w:val="clear" w:color="auto" w:fill="auto"/>
        </w:rPr>
      </w:pPr>
    </w:p>
    <w:p w14:paraId="6B2F303F">
      <w:pPr>
        <w:pStyle w:val="14"/>
        <w:rPr>
          <w:rFonts w:hint="eastAsia" w:ascii="宋体" w:hAnsi="宋体" w:eastAsia="宋体" w:cs="宋体"/>
          <w:highlight w:val="none"/>
        </w:rPr>
      </w:pPr>
    </w:p>
    <w:p w14:paraId="1BDF5228">
      <w:pPr>
        <w:widowControl w:val="0"/>
        <w:spacing w:line="440" w:lineRule="exact"/>
        <w:jc w:val="center"/>
        <w:rPr>
          <w:rFonts w:hint="eastAsia" w:ascii="宋体" w:hAnsi="宋体" w:eastAsia="宋体" w:cs="宋体"/>
          <w:color w:val="000000"/>
          <w:sz w:val="24"/>
          <w:szCs w:val="24"/>
          <w:highlight w:val="none"/>
        </w:rPr>
      </w:pPr>
      <w:r>
        <w:rPr>
          <w:rFonts w:hint="eastAsia" w:ascii="宋体" w:hAnsi="宋体" w:eastAsia="宋体" w:cs="宋体"/>
          <w:b/>
          <w:bCs/>
          <w:color w:val="000000"/>
          <w:sz w:val="32"/>
          <w:szCs w:val="32"/>
          <w:highlight w:val="none"/>
        </w:rPr>
        <w:t>非联合体声明书</w:t>
      </w:r>
    </w:p>
    <w:p w14:paraId="40C362C9">
      <w:pPr>
        <w:pStyle w:val="23"/>
        <w:widowControl w:val="0"/>
        <w:spacing w:line="440" w:lineRule="exact"/>
        <w:ind w:firstLine="170" w:firstLineChars="71"/>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u w:val="single"/>
        </w:rPr>
        <w:t>采购人</w:t>
      </w:r>
    </w:p>
    <w:p w14:paraId="26141A88">
      <w:pPr>
        <w:pStyle w:val="23"/>
        <w:widowControl w:val="0"/>
        <w:spacing w:line="440" w:lineRule="exact"/>
        <w:ind w:firstLine="530" w:firstLineChars="221"/>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我公司</w:t>
      </w:r>
      <w:r>
        <w:rPr>
          <w:rFonts w:hint="eastAsia" w:ascii="宋体" w:hAnsi="宋体" w:eastAsia="宋体" w:cs="宋体"/>
          <w:color w:val="000000"/>
          <w:sz w:val="24"/>
          <w:szCs w:val="24"/>
          <w:highlight w:val="none"/>
          <w:u w:val="single"/>
        </w:rPr>
        <w:t xml:space="preserve">       （供应商名称）       </w:t>
      </w:r>
      <w:r>
        <w:rPr>
          <w:rFonts w:hint="eastAsia" w:ascii="宋体" w:hAnsi="宋体" w:eastAsia="宋体" w:cs="宋体"/>
          <w:color w:val="000000"/>
          <w:sz w:val="24"/>
          <w:szCs w:val="24"/>
          <w:highlight w:val="none"/>
        </w:rPr>
        <w:t>，就参加</w:t>
      </w:r>
      <w:r>
        <w:rPr>
          <w:rFonts w:hint="eastAsia" w:ascii="宋体" w:hAnsi="宋体" w:eastAsia="宋体" w:cs="宋体"/>
          <w:color w:val="000000"/>
          <w:sz w:val="24"/>
          <w:szCs w:val="24"/>
          <w:highlight w:val="none"/>
          <w:u w:val="single"/>
        </w:rPr>
        <w:t xml:space="preserve">      （采购项目名称）    </w:t>
      </w:r>
      <w:r>
        <w:rPr>
          <w:rFonts w:hint="eastAsia" w:ascii="宋体" w:hAnsi="宋体" w:eastAsia="宋体" w:cs="宋体"/>
          <w:color w:val="000000"/>
          <w:sz w:val="24"/>
          <w:szCs w:val="24"/>
          <w:highlight w:val="none"/>
        </w:rPr>
        <w:t>投标事宜，在此郑重声明：</w:t>
      </w:r>
    </w:p>
    <w:p w14:paraId="4B24758D">
      <w:pPr>
        <w:pStyle w:val="23"/>
        <w:widowControl w:val="0"/>
        <w:spacing w:line="440" w:lineRule="exact"/>
        <w:ind w:firstLine="530" w:firstLineChars="221"/>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1.我公司参加本次政府采购活动前三年内在经营活动中没有重大违法记录（包括但不限于未被列入失信被执行人、重大税收违法案件当事人名单、政府采购严重违法失信行为记录名单等情形）。</w:t>
      </w:r>
    </w:p>
    <w:p w14:paraId="7C54E9B4">
      <w:pPr>
        <w:pStyle w:val="23"/>
        <w:widowControl w:val="0"/>
        <w:spacing w:line="440" w:lineRule="exact"/>
        <w:ind w:firstLine="530" w:firstLineChars="221"/>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2.我公司本次投标为独立投标，不存在联合体投标情形。</w:t>
      </w:r>
    </w:p>
    <w:p w14:paraId="7A447BAF">
      <w:pPr>
        <w:pStyle w:val="23"/>
        <w:widowControl w:val="0"/>
        <w:spacing w:line="440" w:lineRule="exact"/>
        <w:ind w:firstLine="530" w:firstLineChars="221"/>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本声明真实有效，若经查实存在不实情况。本公司愿意接受政府有关部门的相应处罚，并愿意承担由此带来的法律后果。</w:t>
      </w:r>
    </w:p>
    <w:p w14:paraId="22658833">
      <w:pPr>
        <w:pStyle w:val="23"/>
        <w:widowControl w:val="0"/>
        <w:spacing w:line="440" w:lineRule="exact"/>
        <w:ind w:firstLine="530" w:firstLineChars="221"/>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特此承诺！</w:t>
      </w:r>
    </w:p>
    <w:p w14:paraId="3BF3A297">
      <w:pPr>
        <w:pStyle w:val="23"/>
        <w:widowControl w:val="0"/>
        <w:spacing w:line="440" w:lineRule="exact"/>
        <w:ind w:firstLine="530" w:firstLineChars="221"/>
        <w:rPr>
          <w:rFonts w:hint="eastAsia" w:ascii="宋体" w:hAnsi="宋体" w:eastAsia="宋体" w:cs="宋体"/>
          <w:color w:val="000000"/>
          <w:sz w:val="24"/>
          <w:szCs w:val="24"/>
          <w:highlight w:val="none"/>
        </w:rPr>
      </w:pPr>
    </w:p>
    <w:p w14:paraId="2DF92CDE">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lang w:eastAsia="zh-CN"/>
        </w:rPr>
        <w:t>供应商</w:t>
      </w:r>
      <w:r>
        <w:rPr>
          <w:rFonts w:hint="eastAsia" w:ascii="宋体" w:hAnsi="宋体" w:eastAsia="宋体" w:cs="宋体"/>
          <w:color w:val="auto"/>
          <w:sz w:val="24"/>
          <w:highlight w:val="none"/>
          <w:shd w:val="clear" w:color="auto" w:fill="auto"/>
        </w:rPr>
        <w:t>全称：</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（公章）</w:t>
      </w:r>
    </w:p>
    <w:p w14:paraId="0F095579">
      <w:pPr>
        <w:kinsoku w:val="0"/>
        <w:spacing w:line="500" w:lineRule="exact"/>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法定代表人或被授权人（签字或盖章）：</w:t>
      </w:r>
      <w:r>
        <w:rPr>
          <w:rFonts w:hint="eastAsia" w:ascii="宋体" w:hAnsi="宋体" w:eastAsia="宋体" w:cs="宋体"/>
          <w:color w:val="auto"/>
          <w:sz w:val="24"/>
          <w:highlight w:val="none"/>
          <w:u w:val="single"/>
          <w:shd w:val="clear" w:color="auto" w:fill="auto"/>
        </w:rPr>
        <w:t xml:space="preserve">                   </w:t>
      </w:r>
    </w:p>
    <w:p w14:paraId="697B8B53">
      <w:pPr>
        <w:widowControl w:val="0"/>
        <w:spacing w:line="440" w:lineRule="exact"/>
        <w:rPr>
          <w:rFonts w:hint="eastAsia" w:ascii="宋体" w:hAnsi="宋体" w:eastAsia="宋体" w:cs="宋体"/>
          <w:color w:val="000000"/>
          <w:sz w:val="24"/>
          <w:szCs w:val="24"/>
          <w:highlight w:val="none"/>
        </w:rPr>
      </w:pPr>
      <w:r>
        <w:rPr>
          <w:rFonts w:hint="eastAsia" w:ascii="宋体" w:hAnsi="宋体" w:eastAsia="宋体" w:cs="宋体"/>
          <w:color w:val="auto"/>
          <w:sz w:val="24"/>
          <w:highlight w:val="none"/>
          <w:shd w:val="clear" w:color="auto" w:fill="auto"/>
        </w:rPr>
        <w:t>日   期：</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年   月   日</w:t>
      </w:r>
    </w:p>
    <w:p w14:paraId="2F97D519">
      <w:pPr>
        <w:pStyle w:val="31"/>
        <w:spacing w:line="360" w:lineRule="auto"/>
        <w:ind w:firstLine="720" w:firstLineChars="300"/>
        <w:jc w:val="center"/>
        <w:rPr>
          <w:rFonts w:hint="eastAsia" w:ascii="宋体" w:hAnsi="宋体" w:eastAsia="宋体" w:cs="宋体"/>
          <w:color w:val="000000"/>
          <w:sz w:val="24"/>
          <w:szCs w:val="24"/>
          <w:highlight w:val="none"/>
        </w:rPr>
        <w:sectPr>
          <w:pgSz w:w="11906" w:h="16838"/>
          <w:pgMar w:top="1440" w:right="1800" w:bottom="873" w:left="1800" w:header="1020" w:footer="992" w:gutter="0"/>
          <w:pgNumType w:fmt="decimal"/>
          <w:cols w:space="720" w:num="1"/>
          <w:docGrid w:type="lines" w:linePitch="312" w:charSpace="0"/>
        </w:sectPr>
      </w:pPr>
    </w:p>
    <w:p w14:paraId="771F3441">
      <w:pPr>
        <w:pStyle w:val="3"/>
        <w:keepNext/>
        <w:keepLines/>
        <w:pageBreakBefore w:val="0"/>
        <w:widowControl/>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highlight w:val="none"/>
        </w:rPr>
      </w:pPr>
      <w:r>
        <w:rPr>
          <w:rFonts w:hint="eastAsia" w:ascii="宋体" w:hAnsi="宋体" w:eastAsia="宋体" w:cs="宋体"/>
          <w:sz w:val="32"/>
          <w:szCs w:val="32"/>
          <w:highlight w:val="none"/>
        </w:rPr>
        <w:t>第四部分  供应商概况</w:t>
      </w:r>
    </w:p>
    <w:p w14:paraId="55C3A1B0">
      <w:pPr>
        <w:pStyle w:val="32"/>
        <w:spacing w:before="210" w:after="210"/>
        <w:ind w:left="0" w:leftChars="0" w:firstLine="0" w:firstLineChars="0"/>
        <w:jc w:val="center"/>
        <w:outlineLvl w:val="2"/>
        <w:rPr>
          <w:rFonts w:hint="eastAsia" w:ascii="宋体" w:hAnsi="宋体" w:eastAsia="宋体" w:cs="宋体"/>
          <w:highlight w:val="none"/>
        </w:rPr>
      </w:pPr>
      <w:bookmarkStart w:id="208" w:name="_Toc28989"/>
      <w:bookmarkStart w:id="209" w:name="_Toc5004"/>
      <w:bookmarkStart w:id="210" w:name="_Toc5270"/>
      <w:r>
        <w:rPr>
          <w:rFonts w:hint="eastAsia" w:ascii="宋体" w:hAnsi="宋体" w:eastAsia="宋体" w:cs="宋体"/>
          <w:highlight w:val="none"/>
        </w:rPr>
        <w:t>（一）供应商基本信息</w:t>
      </w:r>
      <w:bookmarkEnd w:id="208"/>
      <w:bookmarkEnd w:id="209"/>
      <w:bookmarkEnd w:id="210"/>
    </w:p>
    <w:tbl>
      <w:tblPr>
        <w:tblStyle w:val="36"/>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079"/>
        <w:gridCol w:w="1550"/>
        <w:gridCol w:w="1535"/>
        <w:gridCol w:w="1593"/>
        <w:gridCol w:w="1605"/>
      </w:tblGrid>
      <w:tr w14:paraId="684F3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660" w:type="dxa"/>
            <w:gridSpan w:val="6"/>
            <w:noWrap w:val="0"/>
            <w:vAlign w:val="center"/>
          </w:tcPr>
          <w:p w14:paraId="17F1C48D">
            <w:pPr>
              <w:keepNext w:val="0"/>
              <w:keepLines w:val="0"/>
              <w:pageBreakBefore w:val="0"/>
              <w:widowControl/>
              <w:kinsoku/>
              <w:wordWrap/>
              <w:overflowPunct/>
              <w:topLinePunct w:val="0"/>
              <w:autoSpaceDE/>
              <w:autoSpaceDN/>
              <w:bidi w:val="0"/>
              <w:adjustRightInd/>
              <w:snapToGrid w:val="0"/>
              <w:spacing w:line="36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单位基本情况</w:t>
            </w:r>
          </w:p>
        </w:tc>
      </w:tr>
      <w:tr w14:paraId="656D5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98" w:type="dxa"/>
            <w:noWrap w:val="0"/>
            <w:vAlign w:val="center"/>
          </w:tcPr>
          <w:p w14:paraId="5FDB0C84">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供应商全称</w:t>
            </w:r>
          </w:p>
        </w:tc>
        <w:tc>
          <w:tcPr>
            <w:tcW w:w="7362" w:type="dxa"/>
            <w:gridSpan w:val="5"/>
            <w:noWrap w:val="0"/>
            <w:vAlign w:val="center"/>
          </w:tcPr>
          <w:p w14:paraId="6EB53EDD">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28FE9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98" w:type="dxa"/>
            <w:noWrap w:val="0"/>
            <w:vAlign w:val="center"/>
          </w:tcPr>
          <w:p w14:paraId="619CCC8A">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注册地址</w:t>
            </w:r>
          </w:p>
        </w:tc>
        <w:tc>
          <w:tcPr>
            <w:tcW w:w="2629" w:type="dxa"/>
            <w:gridSpan w:val="2"/>
            <w:noWrap w:val="0"/>
            <w:vAlign w:val="center"/>
          </w:tcPr>
          <w:p w14:paraId="174917B3">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1535" w:type="dxa"/>
            <w:noWrap w:val="0"/>
            <w:vAlign w:val="center"/>
          </w:tcPr>
          <w:p w14:paraId="10A43175">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成立时间</w:t>
            </w:r>
          </w:p>
        </w:tc>
        <w:tc>
          <w:tcPr>
            <w:tcW w:w="3198" w:type="dxa"/>
            <w:gridSpan w:val="2"/>
            <w:noWrap w:val="0"/>
            <w:vAlign w:val="center"/>
          </w:tcPr>
          <w:p w14:paraId="67377963">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2E8B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98" w:type="dxa"/>
            <w:noWrap w:val="0"/>
            <w:vAlign w:val="center"/>
          </w:tcPr>
          <w:p w14:paraId="2D66DCCD">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统一社会信用代码</w:t>
            </w:r>
          </w:p>
        </w:tc>
        <w:tc>
          <w:tcPr>
            <w:tcW w:w="2629" w:type="dxa"/>
            <w:gridSpan w:val="2"/>
            <w:noWrap w:val="0"/>
            <w:vAlign w:val="center"/>
          </w:tcPr>
          <w:p w14:paraId="11BC4D1F">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1535" w:type="dxa"/>
            <w:noWrap w:val="0"/>
            <w:vAlign w:val="center"/>
          </w:tcPr>
          <w:p w14:paraId="31D929E9">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单位性质</w:t>
            </w:r>
          </w:p>
        </w:tc>
        <w:tc>
          <w:tcPr>
            <w:tcW w:w="3198" w:type="dxa"/>
            <w:gridSpan w:val="2"/>
            <w:noWrap w:val="0"/>
            <w:vAlign w:val="center"/>
          </w:tcPr>
          <w:p w14:paraId="3E3A01AF">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1CFC9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2298" w:type="dxa"/>
            <w:noWrap w:val="0"/>
            <w:vAlign w:val="center"/>
          </w:tcPr>
          <w:p w14:paraId="3E8916B3">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法定代表人</w:t>
            </w:r>
          </w:p>
          <w:p w14:paraId="78B2DD36">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（主要负责人）</w:t>
            </w:r>
          </w:p>
        </w:tc>
        <w:tc>
          <w:tcPr>
            <w:tcW w:w="7362" w:type="dxa"/>
            <w:gridSpan w:val="5"/>
            <w:noWrap w:val="0"/>
            <w:vAlign w:val="center"/>
          </w:tcPr>
          <w:p w14:paraId="7A8165B4">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0BB95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2298" w:type="dxa"/>
            <w:noWrap w:val="0"/>
            <w:vAlign w:val="center"/>
          </w:tcPr>
          <w:p w14:paraId="6709DDEE">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基本存款账户</w:t>
            </w:r>
          </w:p>
          <w:p w14:paraId="5977FEB2">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开户银行</w:t>
            </w:r>
          </w:p>
        </w:tc>
        <w:tc>
          <w:tcPr>
            <w:tcW w:w="2629" w:type="dxa"/>
            <w:gridSpan w:val="2"/>
            <w:noWrap w:val="0"/>
            <w:vAlign w:val="center"/>
          </w:tcPr>
          <w:p w14:paraId="2C944688">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1535" w:type="dxa"/>
            <w:noWrap w:val="0"/>
            <w:vAlign w:val="center"/>
          </w:tcPr>
          <w:p w14:paraId="431E6C61">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基本存款</w:t>
            </w:r>
          </w:p>
          <w:p w14:paraId="19757631">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账户账号</w:t>
            </w:r>
          </w:p>
        </w:tc>
        <w:tc>
          <w:tcPr>
            <w:tcW w:w="3198" w:type="dxa"/>
            <w:gridSpan w:val="2"/>
            <w:noWrap w:val="0"/>
            <w:vAlign w:val="center"/>
          </w:tcPr>
          <w:p w14:paraId="1940EF92">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3565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2298" w:type="dxa"/>
            <w:noWrap w:val="0"/>
            <w:vAlign w:val="center"/>
          </w:tcPr>
          <w:p w14:paraId="74C299B8">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上年度</w:t>
            </w:r>
          </w:p>
          <w:p w14:paraId="0152C5A5">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营业收入</w:t>
            </w:r>
          </w:p>
        </w:tc>
        <w:tc>
          <w:tcPr>
            <w:tcW w:w="2629" w:type="dxa"/>
            <w:gridSpan w:val="2"/>
            <w:noWrap w:val="0"/>
            <w:vAlign w:val="center"/>
          </w:tcPr>
          <w:p w14:paraId="075ED9F9">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1535" w:type="dxa"/>
            <w:noWrap w:val="0"/>
            <w:vAlign w:val="center"/>
          </w:tcPr>
          <w:p w14:paraId="5871B7CD">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资产总额</w:t>
            </w:r>
          </w:p>
        </w:tc>
        <w:tc>
          <w:tcPr>
            <w:tcW w:w="3198" w:type="dxa"/>
            <w:gridSpan w:val="2"/>
            <w:noWrap w:val="0"/>
            <w:vAlign w:val="center"/>
          </w:tcPr>
          <w:p w14:paraId="6E26D19A">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1FD9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98" w:type="dxa"/>
            <w:noWrap w:val="0"/>
            <w:vAlign w:val="center"/>
          </w:tcPr>
          <w:p w14:paraId="0A29AC22">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经营范围</w:t>
            </w:r>
          </w:p>
        </w:tc>
        <w:tc>
          <w:tcPr>
            <w:tcW w:w="7362" w:type="dxa"/>
            <w:gridSpan w:val="5"/>
            <w:noWrap w:val="0"/>
            <w:vAlign w:val="center"/>
          </w:tcPr>
          <w:p w14:paraId="1AF84442">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53F8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98" w:type="dxa"/>
            <w:noWrap w:val="0"/>
            <w:vAlign w:val="center"/>
          </w:tcPr>
          <w:p w14:paraId="689CD6ED">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资质证书名称</w:t>
            </w:r>
          </w:p>
        </w:tc>
        <w:tc>
          <w:tcPr>
            <w:tcW w:w="2629" w:type="dxa"/>
            <w:gridSpan w:val="2"/>
            <w:noWrap w:val="0"/>
            <w:vAlign w:val="center"/>
          </w:tcPr>
          <w:p w14:paraId="2459FF90">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证书号</w:t>
            </w:r>
          </w:p>
        </w:tc>
        <w:tc>
          <w:tcPr>
            <w:tcW w:w="1535" w:type="dxa"/>
            <w:noWrap w:val="0"/>
            <w:vAlign w:val="center"/>
          </w:tcPr>
          <w:p w14:paraId="30D91D3C">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等级</w:t>
            </w:r>
          </w:p>
        </w:tc>
        <w:tc>
          <w:tcPr>
            <w:tcW w:w="3198" w:type="dxa"/>
            <w:gridSpan w:val="2"/>
            <w:noWrap w:val="0"/>
            <w:vAlign w:val="center"/>
          </w:tcPr>
          <w:p w14:paraId="2530A439">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类型</w:t>
            </w:r>
          </w:p>
        </w:tc>
      </w:tr>
      <w:tr w14:paraId="19486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98" w:type="dxa"/>
            <w:noWrap w:val="0"/>
            <w:vAlign w:val="center"/>
          </w:tcPr>
          <w:p w14:paraId="66F6DFB5">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2629" w:type="dxa"/>
            <w:gridSpan w:val="2"/>
            <w:noWrap w:val="0"/>
            <w:vAlign w:val="center"/>
          </w:tcPr>
          <w:p w14:paraId="35BDFACE">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1535" w:type="dxa"/>
            <w:noWrap w:val="0"/>
            <w:vAlign w:val="center"/>
          </w:tcPr>
          <w:p w14:paraId="2F35D066">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3198" w:type="dxa"/>
            <w:gridSpan w:val="2"/>
            <w:noWrap w:val="0"/>
            <w:vAlign w:val="center"/>
          </w:tcPr>
          <w:p w14:paraId="44FCF334">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3021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98" w:type="dxa"/>
            <w:noWrap w:val="0"/>
            <w:vAlign w:val="center"/>
          </w:tcPr>
          <w:p w14:paraId="0EAFF011">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2629" w:type="dxa"/>
            <w:gridSpan w:val="2"/>
            <w:noWrap w:val="0"/>
            <w:vAlign w:val="center"/>
          </w:tcPr>
          <w:p w14:paraId="0A5D11B2">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1535" w:type="dxa"/>
            <w:noWrap w:val="0"/>
            <w:vAlign w:val="center"/>
          </w:tcPr>
          <w:p w14:paraId="086D7738">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3198" w:type="dxa"/>
            <w:gridSpan w:val="2"/>
            <w:noWrap w:val="0"/>
            <w:vAlign w:val="center"/>
          </w:tcPr>
          <w:p w14:paraId="13E5D792">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0FAAB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660" w:type="dxa"/>
            <w:gridSpan w:val="6"/>
            <w:noWrap w:val="0"/>
            <w:vAlign w:val="center"/>
          </w:tcPr>
          <w:p w14:paraId="01CB471A">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从业人员情况</w:t>
            </w:r>
          </w:p>
        </w:tc>
      </w:tr>
      <w:tr w14:paraId="19564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2298" w:type="dxa"/>
            <w:vMerge w:val="restart"/>
            <w:noWrap w:val="0"/>
            <w:vAlign w:val="center"/>
          </w:tcPr>
          <w:p w14:paraId="215BC5F2">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从业人员总数</w:t>
            </w:r>
          </w:p>
        </w:tc>
        <w:tc>
          <w:tcPr>
            <w:tcW w:w="1079" w:type="dxa"/>
            <w:vMerge w:val="restart"/>
            <w:noWrap w:val="0"/>
            <w:vAlign w:val="center"/>
          </w:tcPr>
          <w:p w14:paraId="29FC400D">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1550" w:type="dxa"/>
            <w:noWrap w:val="0"/>
            <w:vAlign w:val="center"/>
          </w:tcPr>
          <w:p w14:paraId="74017124">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管理人员</w:t>
            </w:r>
          </w:p>
          <w:p w14:paraId="4A1B5417">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数量</w:t>
            </w:r>
          </w:p>
        </w:tc>
        <w:tc>
          <w:tcPr>
            <w:tcW w:w="1535" w:type="dxa"/>
            <w:noWrap w:val="0"/>
            <w:vAlign w:val="center"/>
          </w:tcPr>
          <w:p w14:paraId="259588E9">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1593" w:type="dxa"/>
            <w:noWrap w:val="0"/>
            <w:vAlign w:val="center"/>
          </w:tcPr>
          <w:p w14:paraId="61F420B5">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专业技术</w:t>
            </w:r>
          </w:p>
          <w:p w14:paraId="2DE428A6">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人员数量</w:t>
            </w:r>
          </w:p>
        </w:tc>
        <w:tc>
          <w:tcPr>
            <w:tcW w:w="1605" w:type="dxa"/>
            <w:noWrap w:val="0"/>
            <w:vAlign w:val="center"/>
          </w:tcPr>
          <w:p w14:paraId="2795361F">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21C3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2298" w:type="dxa"/>
            <w:vMerge w:val="continue"/>
            <w:noWrap w:val="0"/>
            <w:vAlign w:val="center"/>
          </w:tcPr>
          <w:p w14:paraId="227A0152">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1079" w:type="dxa"/>
            <w:vMerge w:val="continue"/>
            <w:noWrap w:val="0"/>
            <w:vAlign w:val="center"/>
          </w:tcPr>
          <w:p w14:paraId="0DF63193">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1550" w:type="dxa"/>
            <w:noWrap w:val="0"/>
            <w:vAlign w:val="center"/>
          </w:tcPr>
          <w:p w14:paraId="2BCDBCA3">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残疾人</w:t>
            </w:r>
          </w:p>
          <w:p w14:paraId="0F39A881">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数量</w:t>
            </w:r>
          </w:p>
        </w:tc>
        <w:tc>
          <w:tcPr>
            <w:tcW w:w="1535" w:type="dxa"/>
            <w:noWrap w:val="0"/>
            <w:vAlign w:val="center"/>
          </w:tcPr>
          <w:p w14:paraId="3BA0E295">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1593" w:type="dxa"/>
            <w:noWrap w:val="0"/>
            <w:vAlign w:val="center"/>
          </w:tcPr>
          <w:p w14:paraId="742C25EF">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少数民族</w:t>
            </w:r>
          </w:p>
          <w:p w14:paraId="63D1C8F0">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数量</w:t>
            </w:r>
          </w:p>
        </w:tc>
        <w:tc>
          <w:tcPr>
            <w:tcW w:w="1605" w:type="dxa"/>
            <w:noWrap w:val="0"/>
            <w:vAlign w:val="center"/>
          </w:tcPr>
          <w:p w14:paraId="7881822C">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274D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660" w:type="dxa"/>
            <w:gridSpan w:val="6"/>
            <w:noWrap w:val="0"/>
            <w:vAlign w:val="center"/>
          </w:tcPr>
          <w:p w14:paraId="573362A5">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存在直接控股、管理关系的相关供应商</w:t>
            </w:r>
          </w:p>
        </w:tc>
      </w:tr>
      <w:tr w14:paraId="109EB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98" w:type="dxa"/>
            <w:noWrap w:val="0"/>
            <w:vAlign w:val="center"/>
          </w:tcPr>
          <w:p w14:paraId="58EFE5FE">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关系</w:t>
            </w:r>
          </w:p>
        </w:tc>
        <w:tc>
          <w:tcPr>
            <w:tcW w:w="7362" w:type="dxa"/>
            <w:gridSpan w:val="5"/>
            <w:noWrap w:val="0"/>
            <w:vAlign w:val="center"/>
          </w:tcPr>
          <w:p w14:paraId="741B24B5">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供应商名称</w:t>
            </w:r>
          </w:p>
        </w:tc>
      </w:tr>
      <w:tr w14:paraId="6022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98" w:type="dxa"/>
            <w:noWrap w:val="0"/>
            <w:vAlign w:val="center"/>
          </w:tcPr>
          <w:p w14:paraId="2449835B">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7362" w:type="dxa"/>
            <w:gridSpan w:val="5"/>
            <w:noWrap w:val="0"/>
            <w:vAlign w:val="center"/>
          </w:tcPr>
          <w:p w14:paraId="41F44C06">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2BB8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98" w:type="dxa"/>
            <w:noWrap w:val="0"/>
            <w:vAlign w:val="center"/>
          </w:tcPr>
          <w:p w14:paraId="002D0508">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c>
          <w:tcPr>
            <w:tcW w:w="7362" w:type="dxa"/>
            <w:gridSpan w:val="5"/>
            <w:noWrap w:val="0"/>
            <w:vAlign w:val="center"/>
          </w:tcPr>
          <w:p w14:paraId="23AF174F">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p>
        </w:tc>
      </w:tr>
      <w:tr w14:paraId="7A050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98" w:type="dxa"/>
            <w:noWrap w:val="0"/>
            <w:vAlign w:val="center"/>
          </w:tcPr>
          <w:p w14:paraId="6A24E980">
            <w:pPr>
              <w:keepNext w:val="0"/>
              <w:keepLines w:val="0"/>
              <w:pageBreakBefore w:val="0"/>
              <w:widowControl/>
              <w:kinsoku/>
              <w:wordWrap/>
              <w:overflowPunct/>
              <w:topLinePunct w:val="0"/>
              <w:autoSpaceDE/>
              <w:autoSpaceDN/>
              <w:bidi w:val="0"/>
              <w:adjustRightInd/>
              <w:snapToGrid w:val="0"/>
              <w:spacing w:line="240" w:lineRule="auto"/>
              <w:ind w:firstLine="0"/>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说明</w:t>
            </w:r>
          </w:p>
        </w:tc>
        <w:tc>
          <w:tcPr>
            <w:tcW w:w="7362" w:type="dxa"/>
            <w:gridSpan w:val="5"/>
            <w:noWrap w:val="0"/>
            <w:vAlign w:val="center"/>
          </w:tcPr>
          <w:p w14:paraId="2C08E8E6">
            <w:pPr>
              <w:keepNext w:val="0"/>
              <w:keepLines w:val="0"/>
              <w:pageBreakBefore w:val="0"/>
              <w:widowControl/>
              <w:kinsoku/>
              <w:wordWrap/>
              <w:overflowPunct/>
              <w:topLinePunct w:val="0"/>
              <w:autoSpaceDE/>
              <w:autoSpaceDN/>
              <w:bidi w:val="0"/>
              <w:adjustRightInd/>
              <w:snapToGrid w:val="0"/>
              <w:spacing w:line="240" w:lineRule="auto"/>
              <w:ind w:firstLine="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1.成立时间至提交投标文件截止时间不足一年的可不填写“上年度营业收入”；</w:t>
            </w:r>
          </w:p>
          <w:p w14:paraId="420D8BFF">
            <w:pPr>
              <w:keepNext w:val="0"/>
              <w:keepLines w:val="0"/>
              <w:pageBreakBefore w:val="0"/>
              <w:widowControl/>
              <w:kinsoku/>
              <w:wordWrap/>
              <w:overflowPunct/>
              <w:topLinePunct w:val="0"/>
              <w:autoSpaceDE/>
              <w:autoSpaceDN/>
              <w:bidi w:val="0"/>
              <w:adjustRightInd/>
              <w:snapToGrid w:val="0"/>
              <w:spacing w:line="240" w:lineRule="auto"/>
              <w:ind w:firstLine="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2.招标文件接受联合体的，联合体各方均应提供；</w:t>
            </w:r>
          </w:p>
          <w:p w14:paraId="2C88D07D">
            <w:pPr>
              <w:keepNext w:val="0"/>
              <w:keepLines w:val="0"/>
              <w:pageBreakBefore w:val="0"/>
              <w:widowControl/>
              <w:kinsoku/>
              <w:wordWrap/>
              <w:overflowPunct/>
              <w:topLinePunct w:val="0"/>
              <w:autoSpaceDE/>
              <w:autoSpaceDN/>
              <w:bidi w:val="0"/>
              <w:adjustRightInd/>
              <w:snapToGrid w:val="0"/>
              <w:spacing w:line="240" w:lineRule="auto"/>
              <w:ind w:firstLine="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3.表格空间不足时，请自行扩展。</w:t>
            </w:r>
          </w:p>
        </w:tc>
      </w:tr>
    </w:tbl>
    <w:p w14:paraId="6DC103B7">
      <w:pPr>
        <w:pStyle w:val="32"/>
        <w:spacing w:before="210" w:after="210"/>
        <w:jc w:val="center"/>
        <w:outlineLvl w:val="2"/>
        <w:rPr>
          <w:rFonts w:hint="eastAsia" w:ascii="宋体" w:hAnsi="宋体" w:eastAsia="宋体" w:cs="宋体"/>
          <w:highlight w:val="none"/>
        </w:rPr>
      </w:pPr>
      <w:bookmarkStart w:id="211" w:name="_Toc23513"/>
      <w:bookmarkStart w:id="212" w:name="_Toc2005"/>
      <w:bookmarkStart w:id="213" w:name="_Toc18114"/>
      <w:r>
        <w:rPr>
          <w:rFonts w:hint="eastAsia" w:ascii="宋体" w:hAnsi="宋体" w:eastAsia="宋体" w:cs="宋体"/>
          <w:highlight w:val="none"/>
        </w:rPr>
        <w:t>（二）供应商性质</w:t>
      </w:r>
      <w:bookmarkEnd w:id="211"/>
      <w:bookmarkEnd w:id="212"/>
      <w:bookmarkEnd w:id="213"/>
    </w:p>
    <w:p w14:paraId="3ABD28E3">
      <w:pPr>
        <w:jc w:val="both"/>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附件1：</w:t>
      </w:r>
    </w:p>
    <w:p w14:paraId="40971C31">
      <w:pPr>
        <w:spacing w:before="101" w:line="226" w:lineRule="auto"/>
        <w:jc w:val="center"/>
        <w:rPr>
          <w:rFonts w:hint="eastAsia" w:ascii="宋体" w:hAnsi="宋体" w:eastAsia="宋体" w:cs="宋体"/>
          <w:highlight w:val="none"/>
        </w:rPr>
      </w:pPr>
      <w:r>
        <w:rPr>
          <w:rFonts w:hint="eastAsia" w:ascii="宋体" w:hAnsi="宋体" w:eastAsia="宋体" w:cs="宋体"/>
          <w:b/>
          <w:bCs/>
          <w:spacing w:val="-1"/>
          <w:sz w:val="24"/>
          <w:szCs w:val="24"/>
          <w:highlight w:val="none"/>
        </w:rPr>
        <w:t>中小企业声明函（货物）</w:t>
      </w:r>
    </w:p>
    <w:p w14:paraId="21C71FC8">
      <w:pPr>
        <w:spacing w:before="78" w:line="380" w:lineRule="auto"/>
        <w:ind w:left="2" w:firstLine="480"/>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本公司（联合体）郑重声明，根据《政府采购促进中小企业发展管理办法》（财库</w:t>
      </w:r>
      <w:r>
        <w:rPr>
          <w:rFonts w:hint="eastAsia" w:ascii="宋体" w:hAnsi="宋体" w:eastAsia="宋体" w:cs="宋体"/>
          <w:spacing w:val="6"/>
          <w:sz w:val="24"/>
          <w:szCs w:val="24"/>
          <w:highlight w:val="none"/>
        </w:rPr>
        <w:t xml:space="preserve"> </w:t>
      </w:r>
      <w:r>
        <w:rPr>
          <w:rFonts w:hint="eastAsia" w:ascii="宋体" w:hAnsi="宋体" w:eastAsia="宋体" w:cs="宋体"/>
          <w:spacing w:val="1"/>
          <w:sz w:val="24"/>
          <w:szCs w:val="24"/>
          <w:highlight w:val="none"/>
        </w:rPr>
        <w:t>﹝2020﹞46 号）的规定，本公司（联合体）参加</w:t>
      </w:r>
      <w:r>
        <w:rPr>
          <w:rFonts w:hint="eastAsia" w:ascii="宋体" w:hAnsi="宋体" w:eastAsia="宋体" w:cs="宋体"/>
          <w:spacing w:val="1"/>
          <w:sz w:val="24"/>
          <w:szCs w:val="24"/>
          <w:highlight w:val="none"/>
          <w:u w:val="single"/>
        </w:rPr>
        <w:t>（单位名称）</w:t>
      </w:r>
      <w:r>
        <w:rPr>
          <w:rFonts w:hint="eastAsia" w:ascii="宋体" w:hAnsi="宋体" w:eastAsia="宋体" w:cs="宋体"/>
          <w:spacing w:val="1"/>
          <w:sz w:val="24"/>
          <w:szCs w:val="24"/>
          <w:highlight w:val="none"/>
        </w:rPr>
        <w:t>的</w:t>
      </w:r>
      <w:r>
        <w:rPr>
          <w:rFonts w:hint="eastAsia" w:ascii="宋体" w:hAnsi="宋体" w:eastAsia="宋体" w:cs="宋体"/>
          <w:spacing w:val="1"/>
          <w:sz w:val="24"/>
          <w:szCs w:val="24"/>
          <w:highlight w:val="none"/>
          <w:u w:val="single"/>
        </w:rPr>
        <w:t>（项目名称）</w:t>
      </w:r>
      <w:r>
        <w:rPr>
          <w:rFonts w:hint="eastAsia" w:ascii="宋体" w:hAnsi="宋体" w:eastAsia="宋体" w:cs="宋体"/>
          <w:spacing w:val="1"/>
          <w:sz w:val="24"/>
          <w:szCs w:val="24"/>
          <w:highlight w:val="none"/>
        </w:rPr>
        <w:t>采购活</w:t>
      </w:r>
      <w:r>
        <w:rPr>
          <w:rFonts w:hint="eastAsia" w:ascii="宋体" w:hAnsi="宋体" w:eastAsia="宋体" w:cs="宋体"/>
          <w:spacing w:val="-2"/>
          <w:sz w:val="24"/>
          <w:szCs w:val="24"/>
          <w:highlight w:val="none"/>
        </w:rPr>
        <w:t>动，提供的货物全部由符合政策要求的中小企业制造。相关企业（含联合体中的中小企</w:t>
      </w:r>
      <w:r>
        <w:rPr>
          <w:rFonts w:hint="eastAsia" w:ascii="宋体" w:hAnsi="宋体" w:eastAsia="宋体" w:cs="宋体"/>
          <w:spacing w:val="11"/>
          <w:sz w:val="24"/>
          <w:szCs w:val="24"/>
          <w:highlight w:val="none"/>
        </w:rPr>
        <w:t xml:space="preserve"> </w:t>
      </w:r>
      <w:r>
        <w:rPr>
          <w:rFonts w:hint="eastAsia" w:ascii="宋体" w:hAnsi="宋体" w:eastAsia="宋体" w:cs="宋体"/>
          <w:spacing w:val="-2"/>
          <w:sz w:val="24"/>
          <w:szCs w:val="24"/>
          <w:highlight w:val="none"/>
        </w:rPr>
        <w:t>业、签订分包意向协议的中小企业）</w:t>
      </w:r>
      <w:r>
        <w:rPr>
          <w:rFonts w:hint="eastAsia" w:ascii="宋体" w:hAnsi="宋体" w:eastAsia="宋体" w:cs="宋体"/>
          <w:spacing w:val="31"/>
          <w:sz w:val="24"/>
          <w:szCs w:val="24"/>
          <w:highlight w:val="none"/>
        </w:rPr>
        <w:t xml:space="preserve"> </w:t>
      </w:r>
      <w:r>
        <w:rPr>
          <w:rFonts w:hint="eastAsia" w:ascii="宋体" w:hAnsi="宋体" w:eastAsia="宋体" w:cs="宋体"/>
          <w:spacing w:val="-2"/>
          <w:sz w:val="24"/>
          <w:szCs w:val="24"/>
          <w:highlight w:val="none"/>
        </w:rPr>
        <w:t>的具体情况如下：</w:t>
      </w:r>
    </w:p>
    <w:p w14:paraId="1C0BD734">
      <w:pPr>
        <w:tabs>
          <w:tab w:val="left" w:pos="9057"/>
        </w:tabs>
        <w:spacing w:before="37" w:line="378" w:lineRule="auto"/>
        <w:ind w:left="2" w:right="2" w:firstLine="610"/>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w:t>
      </w:r>
      <w:r>
        <w:rPr>
          <w:rFonts w:hint="eastAsia" w:ascii="宋体" w:hAnsi="宋体" w:eastAsia="宋体" w:cs="宋体"/>
          <w:spacing w:val="-3"/>
          <w:sz w:val="24"/>
          <w:szCs w:val="24"/>
          <w:highlight w:val="none"/>
          <w:u w:val="single" w:color="auto"/>
        </w:rPr>
        <w:t>（标的名称</w:t>
      </w:r>
      <w:r>
        <w:rPr>
          <w:rFonts w:hint="eastAsia" w:ascii="宋体" w:hAnsi="宋体" w:eastAsia="宋体" w:cs="宋体"/>
          <w:spacing w:val="5"/>
          <w:sz w:val="24"/>
          <w:szCs w:val="24"/>
          <w:highlight w:val="none"/>
          <w:u w:val="single" w:color="auto"/>
        </w:rPr>
        <w:t>）</w:t>
      </w:r>
      <w:r>
        <w:rPr>
          <w:rFonts w:hint="eastAsia" w:ascii="宋体" w:hAnsi="宋体" w:eastAsia="宋体" w:cs="宋体"/>
          <w:spacing w:val="5"/>
          <w:sz w:val="24"/>
          <w:szCs w:val="24"/>
          <w:highlight w:val="none"/>
        </w:rPr>
        <w:t>，</w:t>
      </w:r>
      <w:r>
        <w:rPr>
          <w:rFonts w:hint="eastAsia" w:ascii="宋体" w:hAnsi="宋体" w:eastAsia="宋体" w:cs="宋体"/>
          <w:spacing w:val="-3"/>
          <w:sz w:val="24"/>
          <w:szCs w:val="24"/>
          <w:highlight w:val="none"/>
        </w:rPr>
        <w:t>属于</w:t>
      </w:r>
      <w:r>
        <w:rPr>
          <w:rFonts w:hint="eastAsia" w:ascii="宋体" w:hAnsi="宋体" w:eastAsia="宋体" w:cs="宋体"/>
          <w:spacing w:val="-3"/>
          <w:sz w:val="24"/>
          <w:szCs w:val="24"/>
          <w:highlight w:val="none"/>
          <w:u w:val="single" w:color="auto"/>
        </w:rPr>
        <w:t xml:space="preserve">（采购文件中明确的所属行业） </w:t>
      </w:r>
      <w:r>
        <w:rPr>
          <w:rFonts w:hint="eastAsia" w:ascii="宋体" w:hAnsi="宋体" w:eastAsia="宋体" w:cs="宋体"/>
          <w:spacing w:val="-101"/>
          <w:sz w:val="24"/>
          <w:szCs w:val="24"/>
          <w:highlight w:val="none"/>
        </w:rPr>
        <w:t xml:space="preserve"> </w:t>
      </w:r>
      <w:r>
        <w:rPr>
          <w:rFonts w:hint="eastAsia" w:ascii="宋体" w:hAnsi="宋体" w:eastAsia="宋体" w:cs="宋体"/>
          <w:spacing w:val="-3"/>
          <w:sz w:val="24"/>
          <w:szCs w:val="24"/>
          <w:highlight w:val="none"/>
        </w:rPr>
        <w:t>行业；制造商为</w:t>
      </w:r>
      <w:r>
        <w:rPr>
          <w:rFonts w:hint="eastAsia" w:ascii="宋体" w:hAnsi="宋体" w:eastAsia="宋体" w:cs="宋体"/>
          <w:spacing w:val="-3"/>
          <w:sz w:val="24"/>
          <w:szCs w:val="24"/>
          <w:highlight w:val="none"/>
          <w:u w:val="single" w:color="auto"/>
        </w:rPr>
        <w:t>（企业名</w:t>
      </w:r>
      <w:r>
        <w:rPr>
          <w:rFonts w:hint="eastAsia" w:ascii="宋体" w:hAnsi="宋体" w:eastAsia="宋体" w:cs="宋体"/>
          <w:spacing w:val="-9"/>
          <w:sz w:val="24"/>
          <w:szCs w:val="24"/>
          <w:highlight w:val="none"/>
          <w:u w:val="single" w:color="auto"/>
        </w:rPr>
        <w:t>称</w:t>
      </w:r>
      <w:r>
        <w:rPr>
          <w:rFonts w:hint="eastAsia" w:ascii="宋体" w:hAnsi="宋体" w:eastAsia="宋体" w:cs="宋体"/>
          <w:spacing w:val="12"/>
          <w:sz w:val="24"/>
          <w:szCs w:val="24"/>
          <w:highlight w:val="none"/>
          <w:u w:val="single" w:color="auto"/>
        </w:rPr>
        <w:t>）</w:t>
      </w:r>
      <w:r>
        <w:rPr>
          <w:rFonts w:hint="eastAsia" w:ascii="宋体" w:hAnsi="宋体" w:eastAsia="宋体" w:cs="宋体"/>
          <w:spacing w:val="12"/>
          <w:sz w:val="24"/>
          <w:szCs w:val="24"/>
          <w:highlight w:val="none"/>
        </w:rPr>
        <w:t>，</w:t>
      </w:r>
      <w:r>
        <w:rPr>
          <w:rFonts w:hint="eastAsia" w:ascii="宋体" w:hAnsi="宋体" w:eastAsia="宋体" w:cs="宋体"/>
          <w:spacing w:val="-9"/>
          <w:sz w:val="24"/>
          <w:szCs w:val="24"/>
          <w:highlight w:val="none"/>
        </w:rPr>
        <w:t>从业人员</w:t>
      </w:r>
      <w:r>
        <w:rPr>
          <w:rFonts w:hint="eastAsia" w:ascii="宋体" w:hAnsi="宋体" w:eastAsia="宋体" w:cs="宋体"/>
          <w:spacing w:val="20"/>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9"/>
          <w:sz w:val="24"/>
          <w:szCs w:val="24"/>
          <w:highlight w:val="none"/>
        </w:rPr>
        <w:t>人，营业收入为</w:t>
      </w:r>
      <w:r>
        <w:rPr>
          <w:rFonts w:hint="eastAsia" w:ascii="宋体" w:hAnsi="宋体" w:eastAsia="宋体" w:cs="宋体"/>
          <w:spacing w:val="20"/>
          <w:sz w:val="24"/>
          <w:szCs w:val="24"/>
          <w:highlight w:val="none"/>
          <w:u w:val="single" w:color="auto"/>
        </w:rPr>
        <w:t xml:space="preserve">   </w:t>
      </w:r>
      <w:r>
        <w:rPr>
          <w:rFonts w:hint="eastAsia" w:ascii="宋体" w:hAnsi="宋体" w:eastAsia="宋体" w:cs="宋体"/>
          <w:spacing w:val="-102"/>
          <w:sz w:val="24"/>
          <w:szCs w:val="24"/>
          <w:highlight w:val="none"/>
        </w:rPr>
        <w:t xml:space="preserve"> </w:t>
      </w:r>
      <w:r>
        <w:rPr>
          <w:rFonts w:hint="eastAsia" w:ascii="宋体" w:hAnsi="宋体" w:eastAsia="宋体" w:cs="宋体"/>
          <w:spacing w:val="-9"/>
          <w:sz w:val="24"/>
          <w:szCs w:val="24"/>
          <w:highlight w:val="none"/>
        </w:rPr>
        <w:t>万元，资产总额为</w:t>
      </w:r>
      <w:r>
        <w:rPr>
          <w:rFonts w:hint="eastAsia" w:ascii="宋体" w:hAnsi="宋体" w:eastAsia="宋体" w:cs="宋体"/>
          <w:spacing w:val="30"/>
          <w:sz w:val="24"/>
          <w:szCs w:val="24"/>
          <w:highlight w:val="none"/>
          <w:u w:val="single" w:color="auto"/>
        </w:rPr>
        <w:t xml:space="preserve">  </w:t>
      </w:r>
      <w:r>
        <w:rPr>
          <w:rFonts w:hint="eastAsia" w:ascii="宋体" w:hAnsi="宋体" w:eastAsia="宋体" w:cs="宋体"/>
          <w:spacing w:val="-103"/>
          <w:sz w:val="24"/>
          <w:szCs w:val="24"/>
          <w:highlight w:val="none"/>
        </w:rPr>
        <w:t xml:space="preserve"> </w:t>
      </w:r>
      <w:r>
        <w:rPr>
          <w:rFonts w:hint="eastAsia" w:ascii="宋体" w:hAnsi="宋体" w:eastAsia="宋体" w:cs="宋体"/>
          <w:spacing w:val="-9"/>
          <w:sz w:val="24"/>
          <w:szCs w:val="24"/>
          <w:highlight w:val="none"/>
        </w:rPr>
        <w:t>万元</w:t>
      </w:r>
      <w:r>
        <w:rPr>
          <w:rFonts w:hint="eastAsia" w:ascii="宋体" w:hAnsi="宋体" w:eastAsia="宋体" w:cs="宋体"/>
          <w:spacing w:val="-27"/>
          <w:position w:val="11"/>
          <w:sz w:val="24"/>
          <w:szCs w:val="24"/>
          <w:highlight w:val="none"/>
        </w:rPr>
        <w:t xml:space="preserve"> </w:t>
      </w:r>
      <w:r>
        <w:rPr>
          <w:rFonts w:hint="eastAsia" w:ascii="宋体" w:hAnsi="宋体" w:eastAsia="宋体" w:cs="宋体"/>
          <w:spacing w:val="-9"/>
          <w:sz w:val="24"/>
          <w:szCs w:val="24"/>
          <w:highlight w:val="none"/>
        </w:rPr>
        <w:t>，属于</w:t>
      </w:r>
      <w:r>
        <w:rPr>
          <w:rFonts w:hint="eastAsia" w:ascii="宋体" w:hAnsi="宋体" w:eastAsia="宋体" w:cs="宋体"/>
          <w:spacing w:val="-9"/>
          <w:sz w:val="24"/>
          <w:szCs w:val="24"/>
          <w:highlight w:val="none"/>
          <w:u w:val="single" w:color="auto"/>
        </w:rPr>
        <w:t>（中型企业、</w:t>
      </w:r>
      <w:r>
        <w:rPr>
          <w:rFonts w:hint="eastAsia" w:ascii="宋体" w:hAnsi="宋体" w:eastAsia="宋体" w:cs="宋体"/>
          <w:spacing w:val="-2"/>
          <w:sz w:val="24"/>
          <w:szCs w:val="24"/>
          <w:highlight w:val="none"/>
          <w:u w:val="single" w:color="auto"/>
        </w:rPr>
        <w:t>小型企业、微型企业</w:t>
      </w:r>
      <w:r>
        <w:rPr>
          <w:rFonts w:hint="eastAsia" w:ascii="宋体" w:hAnsi="宋体" w:eastAsia="宋体" w:cs="宋体"/>
          <w:sz w:val="24"/>
          <w:szCs w:val="24"/>
          <w:highlight w:val="none"/>
          <w:u w:val="single" w:color="auto"/>
        </w:rPr>
        <w:t>）</w:t>
      </w:r>
      <w:r>
        <w:rPr>
          <w:rFonts w:hint="eastAsia" w:ascii="宋体" w:hAnsi="宋体" w:eastAsia="宋体" w:cs="宋体"/>
          <w:sz w:val="24"/>
          <w:szCs w:val="24"/>
          <w:highlight w:val="none"/>
        </w:rPr>
        <w:t>；</w:t>
      </w:r>
    </w:p>
    <w:p w14:paraId="302996E3">
      <w:pPr>
        <w:spacing w:before="37" w:line="378" w:lineRule="auto"/>
        <w:ind w:left="2" w:right="2" w:firstLine="59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w:t>
      </w:r>
      <w:r>
        <w:rPr>
          <w:rFonts w:hint="eastAsia" w:ascii="宋体" w:hAnsi="宋体" w:eastAsia="宋体" w:cs="宋体"/>
          <w:spacing w:val="-2"/>
          <w:sz w:val="24"/>
          <w:szCs w:val="24"/>
          <w:highlight w:val="none"/>
          <w:u w:val="single" w:color="auto"/>
        </w:rPr>
        <w:t>（标的名称</w:t>
      </w:r>
      <w:r>
        <w:rPr>
          <w:rFonts w:hint="eastAsia" w:ascii="宋体" w:hAnsi="宋体" w:eastAsia="宋体" w:cs="宋体"/>
          <w:spacing w:val="2"/>
          <w:sz w:val="24"/>
          <w:szCs w:val="24"/>
          <w:highlight w:val="none"/>
          <w:u w:val="single" w:color="auto"/>
        </w:rPr>
        <w:t>）</w:t>
      </w:r>
      <w:r>
        <w:rPr>
          <w:rFonts w:hint="eastAsia" w:ascii="宋体" w:hAnsi="宋体" w:eastAsia="宋体" w:cs="宋体"/>
          <w:spacing w:val="2"/>
          <w:sz w:val="24"/>
          <w:szCs w:val="24"/>
          <w:highlight w:val="none"/>
        </w:rPr>
        <w:t>，</w:t>
      </w:r>
      <w:r>
        <w:rPr>
          <w:rFonts w:hint="eastAsia" w:ascii="宋体" w:hAnsi="宋体" w:eastAsia="宋体" w:cs="宋体"/>
          <w:spacing w:val="-2"/>
          <w:sz w:val="24"/>
          <w:szCs w:val="24"/>
          <w:highlight w:val="none"/>
        </w:rPr>
        <w:t>属于</w:t>
      </w:r>
      <w:r>
        <w:rPr>
          <w:rFonts w:hint="eastAsia" w:ascii="宋体" w:hAnsi="宋体" w:eastAsia="宋体" w:cs="宋体"/>
          <w:spacing w:val="-2"/>
          <w:sz w:val="24"/>
          <w:szCs w:val="24"/>
          <w:highlight w:val="none"/>
          <w:u w:val="single" w:color="auto"/>
        </w:rPr>
        <w:t>（采购文件中明确的所属行业</w:t>
      </w:r>
      <w:r>
        <w:rPr>
          <w:rFonts w:hint="eastAsia" w:ascii="宋体" w:hAnsi="宋体" w:eastAsia="宋体" w:cs="宋体"/>
          <w:spacing w:val="-3"/>
          <w:sz w:val="24"/>
          <w:szCs w:val="24"/>
          <w:highlight w:val="none"/>
          <w:u w:val="single" w:color="auto"/>
        </w:rPr>
        <w:t xml:space="preserve">） </w:t>
      </w:r>
      <w:r>
        <w:rPr>
          <w:rFonts w:hint="eastAsia" w:ascii="宋体" w:hAnsi="宋体" w:eastAsia="宋体" w:cs="宋体"/>
          <w:spacing w:val="-102"/>
          <w:sz w:val="24"/>
          <w:szCs w:val="24"/>
          <w:highlight w:val="none"/>
        </w:rPr>
        <w:t xml:space="preserve"> </w:t>
      </w:r>
      <w:r>
        <w:rPr>
          <w:rFonts w:hint="eastAsia" w:ascii="宋体" w:hAnsi="宋体" w:eastAsia="宋体" w:cs="宋体"/>
          <w:spacing w:val="-3"/>
          <w:sz w:val="24"/>
          <w:szCs w:val="24"/>
          <w:highlight w:val="none"/>
        </w:rPr>
        <w:t>行业；制造商为</w:t>
      </w:r>
      <w:r>
        <w:rPr>
          <w:rFonts w:hint="eastAsia" w:ascii="宋体" w:hAnsi="宋体" w:eastAsia="宋体" w:cs="宋体"/>
          <w:spacing w:val="-3"/>
          <w:sz w:val="24"/>
          <w:szCs w:val="24"/>
          <w:highlight w:val="none"/>
          <w:u w:val="single" w:color="auto"/>
        </w:rPr>
        <w:t>（企业名</w:t>
      </w:r>
      <w:r>
        <w:rPr>
          <w:rFonts w:hint="eastAsia" w:ascii="宋体" w:hAnsi="宋体" w:eastAsia="宋体" w:cs="宋体"/>
          <w:spacing w:val="-2"/>
          <w:sz w:val="24"/>
          <w:szCs w:val="24"/>
          <w:highlight w:val="none"/>
          <w:u w:val="single" w:color="auto"/>
        </w:rPr>
        <w:t>称</w:t>
      </w:r>
      <w:r>
        <w:rPr>
          <w:rFonts w:hint="eastAsia" w:ascii="宋体" w:hAnsi="宋体" w:eastAsia="宋体" w:cs="宋体"/>
          <w:spacing w:val="7"/>
          <w:sz w:val="24"/>
          <w:szCs w:val="24"/>
          <w:highlight w:val="none"/>
          <w:u w:val="single" w:color="auto"/>
        </w:rPr>
        <w:t>）</w:t>
      </w:r>
      <w:r>
        <w:rPr>
          <w:rFonts w:hint="eastAsia" w:ascii="宋体" w:hAnsi="宋体" w:eastAsia="宋体" w:cs="宋体"/>
          <w:spacing w:val="7"/>
          <w:sz w:val="24"/>
          <w:szCs w:val="24"/>
          <w:highlight w:val="none"/>
        </w:rPr>
        <w:t>，</w:t>
      </w:r>
      <w:r>
        <w:rPr>
          <w:rFonts w:hint="eastAsia" w:ascii="宋体" w:hAnsi="宋体" w:eastAsia="宋体" w:cs="宋体"/>
          <w:spacing w:val="-2"/>
          <w:sz w:val="24"/>
          <w:szCs w:val="24"/>
          <w:highlight w:val="none"/>
        </w:rPr>
        <w:t>从业人员</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99"/>
          <w:sz w:val="24"/>
          <w:szCs w:val="24"/>
          <w:highlight w:val="none"/>
        </w:rPr>
        <w:t xml:space="preserve"> </w:t>
      </w:r>
      <w:r>
        <w:rPr>
          <w:rFonts w:hint="eastAsia" w:ascii="宋体" w:hAnsi="宋体" w:eastAsia="宋体" w:cs="宋体"/>
          <w:spacing w:val="-2"/>
          <w:sz w:val="24"/>
          <w:szCs w:val="24"/>
          <w:highlight w:val="none"/>
        </w:rPr>
        <w:t>人，营业收入为</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102"/>
          <w:sz w:val="24"/>
          <w:szCs w:val="24"/>
          <w:highlight w:val="none"/>
        </w:rPr>
        <w:t xml:space="preserve"> </w:t>
      </w:r>
      <w:r>
        <w:rPr>
          <w:rFonts w:hint="eastAsia" w:ascii="宋体" w:hAnsi="宋体" w:eastAsia="宋体" w:cs="宋体"/>
          <w:spacing w:val="-2"/>
          <w:sz w:val="24"/>
          <w:szCs w:val="24"/>
          <w:highlight w:val="none"/>
        </w:rPr>
        <w:t>万元，资产总额为</w:t>
      </w:r>
      <w:r>
        <w:rPr>
          <w:rFonts w:hint="eastAsia" w:ascii="宋体" w:hAnsi="宋体" w:eastAsia="宋体" w:cs="宋体"/>
          <w:spacing w:val="31"/>
          <w:sz w:val="24"/>
          <w:szCs w:val="24"/>
          <w:highlight w:val="none"/>
          <w:u w:val="single" w:color="auto"/>
        </w:rPr>
        <w:t xml:space="preserve">  </w:t>
      </w:r>
      <w:r>
        <w:rPr>
          <w:rFonts w:hint="eastAsia" w:ascii="宋体" w:hAnsi="宋体" w:eastAsia="宋体" w:cs="宋体"/>
          <w:spacing w:val="-102"/>
          <w:sz w:val="24"/>
          <w:szCs w:val="24"/>
          <w:highlight w:val="none"/>
        </w:rPr>
        <w:t xml:space="preserve"> </w:t>
      </w:r>
      <w:r>
        <w:rPr>
          <w:rFonts w:hint="eastAsia" w:ascii="宋体" w:hAnsi="宋体" w:eastAsia="宋体" w:cs="宋体"/>
          <w:spacing w:val="-2"/>
          <w:sz w:val="24"/>
          <w:szCs w:val="24"/>
          <w:highlight w:val="none"/>
        </w:rPr>
        <w:t>万元，属于</w:t>
      </w:r>
      <w:r>
        <w:rPr>
          <w:rFonts w:hint="eastAsia" w:ascii="宋体" w:hAnsi="宋体" w:eastAsia="宋体" w:cs="宋体"/>
          <w:spacing w:val="-2"/>
          <w:sz w:val="24"/>
          <w:szCs w:val="24"/>
          <w:highlight w:val="none"/>
          <w:u w:val="single" w:color="auto"/>
        </w:rPr>
        <w:t>（中型企</w:t>
      </w:r>
      <w:r>
        <w:rPr>
          <w:rFonts w:hint="eastAsia" w:ascii="宋体" w:hAnsi="宋体" w:eastAsia="宋体" w:cs="宋体"/>
          <w:spacing w:val="-3"/>
          <w:sz w:val="24"/>
          <w:szCs w:val="24"/>
          <w:highlight w:val="none"/>
          <w:u w:val="single" w:color="auto"/>
        </w:rPr>
        <w:t>业、</w:t>
      </w:r>
      <w:r>
        <w:rPr>
          <w:rFonts w:hint="eastAsia" w:ascii="宋体" w:hAnsi="宋体" w:eastAsia="宋体" w:cs="宋体"/>
          <w:spacing w:val="-2"/>
          <w:sz w:val="24"/>
          <w:szCs w:val="24"/>
          <w:highlight w:val="none"/>
          <w:u w:val="single" w:color="auto"/>
        </w:rPr>
        <w:t>小型企业、微型企业</w:t>
      </w:r>
      <w:r>
        <w:rPr>
          <w:rFonts w:hint="eastAsia" w:ascii="宋体" w:hAnsi="宋体" w:eastAsia="宋体" w:cs="宋体"/>
          <w:sz w:val="24"/>
          <w:szCs w:val="24"/>
          <w:highlight w:val="none"/>
          <w:u w:val="single" w:color="auto"/>
        </w:rPr>
        <w:t>）</w:t>
      </w:r>
      <w:r>
        <w:rPr>
          <w:rFonts w:hint="eastAsia" w:ascii="宋体" w:hAnsi="宋体" w:eastAsia="宋体" w:cs="宋体"/>
          <w:sz w:val="24"/>
          <w:szCs w:val="24"/>
          <w:highlight w:val="none"/>
        </w:rPr>
        <w:t>；</w:t>
      </w:r>
    </w:p>
    <w:p w14:paraId="30C88C99">
      <w:pPr>
        <w:spacing w:before="38" w:line="383" w:lineRule="exact"/>
        <w:ind w:left="491"/>
        <w:rPr>
          <w:rFonts w:hint="eastAsia" w:ascii="宋体" w:hAnsi="宋体" w:eastAsia="宋体" w:cs="宋体"/>
          <w:sz w:val="24"/>
          <w:szCs w:val="24"/>
          <w:highlight w:val="none"/>
        </w:rPr>
      </w:pPr>
      <w:r>
        <w:rPr>
          <w:rFonts w:hint="eastAsia" w:ascii="宋体" w:hAnsi="宋体" w:eastAsia="宋体" w:cs="宋体"/>
          <w:spacing w:val="-13"/>
          <w:position w:val="3"/>
          <w:sz w:val="24"/>
          <w:szCs w:val="24"/>
          <w:highlight w:val="none"/>
        </w:rPr>
        <w:t>……</w:t>
      </w:r>
    </w:p>
    <w:p w14:paraId="7D1A8522">
      <w:pPr>
        <w:spacing w:before="121" w:line="373" w:lineRule="auto"/>
        <w:ind w:left="11" w:right="2" w:firstLine="49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以上企业，不属于大企业的分支机构，不存在控股股东为大企业的情形，也不存在</w:t>
      </w:r>
      <w:r>
        <w:rPr>
          <w:rFonts w:hint="eastAsia" w:ascii="宋体" w:hAnsi="宋体" w:eastAsia="宋体" w:cs="宋体"/>
          <w:spacing w:val="18"/>
          <w:sz w:val="24"/>
          <w:szCs w:val="24"/>
          <w:highlight w:val="none"/>
        </w:rPr>
        <w:t xml:space="preserve"> </w:t>
      </w:r>
      <w:r>
        <w:rPr>
          <w:rFonts w:hint="eastAsia" w:ascii="宋体" w:hAnsi="宋体" w:eastAsia="宋体" w:cs="宋体"/>
          <w:spacing w:val="-2"/>
          <w:sz w:val="24"/>
          <w:szCs w:val="24"/>
          <w:highlight w:val="none"/>
        </w:rPr>
        <w:t>与大企业的负责人为同一人的情形。</w:t>
      </w:r>
    </w:p>
    <w:p w14:paraId="2259E139">
      <w:pPr>
        <w:spacing w:before="38" w:line="220" w:lineRule="auto"/>
        <w:ind w:left="483"/>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本企业对上述声明内容的真实性负责。如有虚假，将依 法承担相应责任。</w:t>
      </w:r>
    </w:p>
    <w:p w14:paraId="016168B6">
      <w:pPr>
        <w:pStyle w:val="7"/>
        <w:spacing w:line="320" w:lineRule="auto"/>
        <w:rPr>
          <w:rFonts w:hint="eastAsia" w:ascii="宋体" w:hAnsi="宋体" w:eastAsia="宋体" w:cs="宋体"/>
          <w:sz w:val="24"/>
          <w:szCs w:val="24"/>
          <w:highlight w:val="none"/>
        </w:rPr>
      </w:pPr>
    </w:p>
    <w:p w14:paraId="4ED1B3B4">
      <w:pPr>
        <w:spacing w:before="121" w:line="373" w:lineRule="auto"/>
        <w:ind w:left="11" w:right="2" w:firstLine="495"/>
        <w:rPr>
          <w:rFonts w:hint="eastAsia" w:ascii="宋体" w:hAnsi="宋体" w:eastAsia="宋体" w:cs="宋体"/>
          <w:spacing w:val="-3"/>
          <w:sz w:val="24"/>
          <w:szCs w:val="24"/>
          <w:highlight w:val="none"/>
          <w:lang w:val="en-US" w:eastAsia="zh-CN"/>
        </w:rPr>
      </w:pPr>
      <w:r>
        <w:rPr>
          <w:rFonts w:hint="eastAsia" w:ascii="宋体" w:hAnsi="宋体" w:eastAsia="宋体" w:cs="宋体"/>
          <w:spacing w:val="-3"/>
          <w:sz w:val="24"/>
          <w:szCs w:val="24"/>
          <w:highlight w:val="none"/>
        </w:rPr>
        <w:t>企业名称（盖章）：</w:t>
      </w:r>
    </w:p>
    <w:p w14:paraId="59BA266F">
      <w:pPr>
        <w:spacing w:before="121" w:line="373" w:lineRule="auto"/>
        <w:ind w:left="11" w:right="2" w:firstLine="49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日期：</w:t>
      </w:r>
    </w:p>
    <w:p w14:paraId="2989D40C">
      <w:pPr>
        <w:keepNext w:val="0"/>
        <w:keepLines w:val="0"/>
        <w:pageBreakBefore w:val="0"/>
        <w:widowControl/>
        <w:kinsoku w:val="0"/>
        <w:wordWrap/>
        <w:overflowPunct/>
        <w:topLinePunct w:val="0"/>
        <w:autoSpaceDE w:val="0"/>
        <w:autoSpaceDN w:val="0"/>
        <w:bidi w:val="0"/>
        <w:adjustRightInd w:val="0"/>
        <w:snapToGrid w:val="0"/>
        <w:spacing w:line="231" w:lineRule="auto"/>
        <w:ind w:right="0" w:firstLine="516" w:firstLineChars="200"/>
        <w:jc w:val="left"/>
        <w:textAlignment w:val="baseline"/>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从业人员、营业收入、资产总额填报上一年度数据，无上一年度数据的新成立企业可不填报。</w:t>
      </w:r>
    </w:p>
    <w:p w14:paraId="3D08F9E9">
      <w:pPr>
        <w:keepNext w:val="0"/>
        <w:keepLines w:val="0"/>
        <w:pageBreakBefore w:val="0"/>
        <w:widowControl/>
        <w:kinsoku/>
        <w:wordWrap/>
        <w:overflowPunct/>
        <w:topLinePunct w:val="0"/>
        <w:autoSpaceDE/>
        <w:autoSpaceDN/>
        <w:bidi w:val="0"/>
        <w:adjustRightInd w:val="0"/>
        <w:snapToGrid/>
        <w:spacing w:line="360" w:lineRule="auto"/>
        <w:ind w:firstLine="655" w:firstLineChars="250"/>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spacing w:val="11"/>
          <w:sz w:val="24"/>
          <w:szCs w:val="24"/>
          <w:highlight w:val="none"/>
        </w:rPr>
        <w:t>如不是该类企业则不需提供相关声明，若提供虚假</w:t>
      </w:r>
      <w:r>
        <w:rPr>
          <w:rFonts w:hint="eastAsia" w:ascii="宋体" w:hAnsi="宋体" w:eastAsia="宋体" w:cs="宋体"/>
          <w:spacing w:val="10"/>
          <w:sz w:val="24"/>
          <w:szCs w:val="24"/>
          <w:highlight w:val="none"/>
        </w:rPr>
        <w:t>材料谋取中标、成交的，将按照《中华人民</w:t>
      </w:r>
      <w:r>
        <w:rPr>
          <w:rFonts w:hint="eastAsia" w:ascii="宋体" w:hAnsi="宋体" w:eastAsia="宋体" w:cs="宋体"/>
          <w:sz w:val="24"/>
          <w:szCs w:val="24"/>
          <w:highlight w:val="none"/>
        </w:rPr>
        <w:t xml:space="preserve"> </w:t>
      </w:r>
      <w:r>
        <w:rPr>
          <w:rFonts w:hint="eastAsia" w:ascii="宋体" w:hAnsi="宋体" w:eastAsia="宋体" w:cs="宋体"/>
          <w:spacing w:val="11"/>
          <w:sz w:val="24"/>
          <w:szCs w:val="24"/>
          <w:highlight w:val="none"/>
        </w:rPr>
        <w:t>共和国政府采购法》第七十七条规定对供应商处以采购</w:t>
      </w:r>
      <w:r>
        <w:rPr>
          <w:rFonts w:hint="eastAsia" w:ascii="宋体" w:hAnsi="宋体" w:eastAsia="宋体" w:cs="宋体"/>
          <w:spacing w:val="10"/>
          <w:sz w:val="24"/>
          <w:szCs w:val="24"/>
          <w:highlight w:val="none"/>
        </w:rPr>
        <w:t>金额千分之五以上千分之十以下的罚款，列</w:t>
      </w:r>
      <w:r>
        <w:rPr>
          <w:rFonts w:hint="eastAsia" w:ascii="宋体" w:hAnsi="宋体" w:eastAsia="宋体" w:cs="宋体"/>
          <w:sz w:val="24"/>
          <w:szCs w:val="24"/>
          <w:highlight w:val="none"/>
        </w:rPr>
        <w:t xml:space="preserve"> </w:t>
      </w:r>
      <w:r>
        <w:rPr>
          <w:rFonts w:hint="eastAsia" w:ascii="宋体" w:hAnsi="宋体" w:eastAsia="宋体" w:cs="宋体"/>
          <w:spacing w:val="11"/>
          <w:sz w:val="24"/>
          <w:szCs w:val="24"/>
          <w:highlight w:val="none"/>
        </w:rPr>
        <w:t>入不良行为记录名单，在一至三年内禁止参加政府采购</w:t>
      </w:r>
      <w:r>
        <w:rPr>
          <w:rFonts w:hint="eastAsia" w:ascii="宋体" w:hAnsi="宋体" w:eastAsia="宋体" w:cs="宋体"/>
          <w:spacing w:val="10"/>
          <w:sz w:val="24"/>
          <w:szCs w:val="24"/>
          <w:highlight w:val="none"/>
        </w:rPr>
        <w:t>活动，有违法所得的，并处没收违法所得，</w:t>
      </w:r>
      <w:r>
        <w:rPr>
          <w:rFonts w:hint="eastAsia" w:ascii="宋体" w:hAnsi="宋体" w:eastAsia="宋体" w:cs="宋体"/>
          <w:sz w:val="24"/>
          <w:szCs w:val="24"/>
          <w:highlight w:val="none"/>
        </w:rPr>
        <w:t xml:space="preserve"> </w:t>
      </w:r>
      <w:r>
        <w:rPr>
          <w:rFonts w:hint="eastAsia" w:ascii="宋体" w:hAnsi="宋体" w:eastAsia="宋体" w:cs="宋体"/>
          <w:spacing w:val="8"/>
          <w:sz w:val="24"/>
          <w:szCs w:val="24"/>
          <w:highlight w:val="none"/>
        </w:rPr>
        <w:t>情节严重的，</w:t>
      </w:r>
      <w:r>
        <w:rPr>
          <w:rFonts w:hint="eastAsia" w:ascii="宋体" w:hAnsi="宋体" w:eastAsia="宋体" w:cs="宋体"/>
          <w:spacing w:val="-51"/>
          <w:sz w:val="24"/>
          <w:szCs w:val="24"/>
          <w:highlight w:val="none"/>
        </w:rPr>
        <w:t xml:space="preserve"> </w:t>
      </w:r>
      <w:r>
        <w:rPr>
          <w:rFonts w:hint="eastAsia" w:ascii="宋体" w:hAnsi="宋体" w:eastAsia="宋体" w:cs="宋体"/>
          <w:spacing w:val="8"/>
          <w:sz w:val="24"/>
          <w:szCs w:val="24"/>
          <w:highlight w:val="none"/>
        </w:rPr>
        <w:t>由工商行政管理机关吊销营业执照；构成犯罪的，依法追究刑事</w:t>
      </w:r>
      <w:r>
        <w:rPr>
          <w:rFonts w:hint="eastAsia" w:ascii="宋体" w:hAnsi="宋体" w:eastAsia="宋体" w:cs="宋体"/>
          <w:spacing w:val="7"/>
          <w:sz w:val="24"/>
          <w:szCs w:val="24"/>
          <w:highlight w:val="none"/>
        </w:rPr>
        <w:t>责任。</w:t>
      </w:r>
    </w:p>
    <w:p w14:paraId="64CC82C7">
      <w:pPr>
        <w:pStyle w:val="13"/>
        <w:spacing w:line="360" w:lineRule="auto"/>
        <w:ind w:left="0" w:leftChars="0" w:firstLine="0" w:firstLineChars="0"/>
        <w:jc w:val="both"/>
        <w:rPr>
          <w:rFonts w:hint="eastAsia" w:ascii="宋体" w:hAnsi="宋体" w:eastAsia="宋体" w:cs="宋体"/>
          <w:b/>
          <w:bCs/>
          <w:color w:val="auto"/>
          <w:sz w:val="24"/>
          <w:szCs w:val="24"/>
          <w:highlight w:val="none"/>
          <w:shd w:val="clear" w:color="auto" w:fill="auto"/>
          <w:lang w:val="en-US" w:eastAsia="zh-CN"/>
        </w:rPr>
      </w:pPr>
    </w:p>
    <w:p w14:paraId="6AB9E1B2">
      <w:pPr>
        <w:pStyle w:val="13"/>
        <w:spacing w:line="360" w:lineRule="auto"/>
        <w:ind w:left="0" w:leftChars="0" w:firstLine="0" w:firstLineChars="0"/>
        <w:jc w:val="both"/>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附件2：</w:t>
      </w:r>
    </w:p>
    <w:p w14:paraId="3520F4C6">
      <w:pPr>
        <w:autoSpaceDE w:val="0"/>
        <w:autoSpaceDN w:val="0"/>
        <w:adjustRightInd w:val="0"/>
        <w:spacing w:line="360" w:lineRule="auto"/>
        <w:jc w:val="center"/>
        <w:rPr>
          <w:rFonts w:hint="eastAsia" w:ascii="宋体" w:hAnsi="宋体" w:eastAsia="宋体" w:cs="宋体"/>
          <w:b/>
          <w:color w:val="auto"/>
          <w:sz w:val="24"/>
          <w:szCs w:val="24"/>
          <w:highlight w:val="none"/>
          <w:shd w:val="clear" w:color="auto" w:fill="auto"/>
          <w:lang w:val="zh-CN"/>
        </w:rPr>
      </w:pPr>
      <w:r>
        <w:rPr>
          <w:rFonts w:hint="eastAsia" w:ascii="宋体" w:hAnsi="宋体" w:eastAsia="宋体" w:cs="宋体"/>
          <w:b/>
          <w:color w:val="auto"/>
          <w:sz w:val="24"/>
          <w:szCs w:val="24"/>
          <w:highlight w:val="none"/>
          <w:shd w:val="clear" w:color="auto" w:fill="auto"/>
          <w:lang w:val="zh-CN"/>
        </w:rPr>
        <w:t>残疾人福利性单位声明函</w:t>
      </w:r>
    </w:p>
    <w:p w14:paraId="5DB2BE36">
      <w:pPr>
        <w:autoSpaceDE w:val="0"/>
        <w:autoSpaceDN w:val="0"/>
        <w:adjustRightInd w:val="0"/>
        <w:spacing w:line="360" w:lineRule="auto"/>
        <w:ind w:firstLine="480" w:firstLineChars="200"/>
        <w:jc w:val="left"/>
        <w:rPr>
          <w:rFonts w:hint="eastAsia" w:ascii="宋体" w:hAnsi="宋体" w:eastAsia="宋体" w:cs="宋体"/>
          <w:bCs/>
          <w:color w:val="auto"/>
          <w:sz w:val="24"/>
          <w:szCs w:val="24"/>
          <w:highlight w:val="none"/>
          <w:shd w:val="clear" w:color="auto" w:fill="auto"/>
          <w:lang w:val="zh-CN"/>
        </w:rPr>
      </w:pPr>
    </w:p>
    <w:p w14:paraId="07192B92">
      <w:pPr>
        <w:autoSpaceDE w:val="0"/>
        <w:autoSpaceDN w:val="0"/>
        <w:adjustRightInd w:val="0"/>
        <w:spacing w:line="360" w:lineRule="auto"/>
        <w:ind w:firstLine="480" w:firstLineChars="200"/>
        <w:jc w:val="left"/>
        <w:rPr>
          <w:rFonts w:hint="eastAsia" w:ascii="宋体" w:hAnsi="宋体" w:eastAsia="宋体" w:cs="宋体"/>
          <w:bCs/>
          <w:color w:val="auto"/>
          <w:sz w:val="24"/>
          <w:szCs w:val="24"/>
          <w:highlight w:val="none"/>
          <w:shd w:val="clear" w:color="auto" w:fill="auto"/>
          <w:lang w:val="zh-CN"/>
        </w:rPr>
      </w:pPr>
      <w:r>
        <w:rPr>
          <w:rFonts w:hint="eastAsia" w:ascii="宋体" w:hAnsi="宋体" w:eastAsia="宋体" w:cs="宋体"/>
          <w:bCs/>
          <w:color w:val="auto"/>
          <w:sz w:val="24"/>
          <w:szCs w:val="24"/>
          <w:highlight w:val="none"/>
          <w:shd w:val="clear" w:color="auto" w:fill="auto"/>
          <w:lang w:val="zh-CN"/>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eastAsia="宋体" w:cs="宋体"/>
          <w:bCs/>
          <w:color w:val="auto"/>
          <w:sz w:val="24"/>
          <w:szCs w:val="24"/>
          <w:highlight w:val="none"/>
          <w:u w:val="single"/>
          <w:shd w:val="clear" w:color="auto" w:fill="auto"/>
        </w:rPr>
        <w:t xml:space="preserve">           </w:t>
      </w:r>
      <w:r>
        <w:rPr>
          <w:rFonts w:hint="eastAsia" w:ascii="宋体" w:hAnsi="宋体" w:eastAsia="宋体" w:cs="宋体"/>
          <w:bCs/>
          <w:color w:val="auto"/>
          <w:sz w:val="24"/>
          <w:szCs w:val="24"/>
          <w:highlight w:val="none"/>
          <w:shd w:val="clear" w:color="auto" w:fill="auto"/>
          <w:lang w:val="zh-CN"/>
        </w:rPr>
        <w:t>单位的</w:t>
      </w:r>
      <w:r>
        <w:rPr>
          <w:rFonts w:hint="eastAsia" w:ascii="宋体" w:hAnsi="宋体" w:eastAsia="宋体" w:cs="宋体"/>
          <w:bCs/>
          <w:color w:val="auto"/>
          <w:sz w:val="24"/>
          <w:szCs w:val="24"/>
          <w:highlight w:val="none"/>
          <w:u w:val="single"/>
          <w:shd w:val="clear" w:color="auto" w:fill="auto"/>
        </w:rPr>
        <w:t xml:space="preserve">           </w:t>
      </w:r>
      <w:r>
        <w:rPr>
          <w:rFonts w:hint="eastAsia" w:ascii="宋体" w:hAnsi="宋体" w:eastAsia="宋体" w:cs="宋体"/>
          <w:bCs/>
          <w:color w:val="auto"/>
          <w:sz w:val="24"/>
          <w:szCs w:val="24"/>
          <w:highlight w:val="none"/>
          <w:shd w:val="clear" w:color="auto" w:fill="auto"/>
          <w:lang w:val="zh-CN"/>
        </w:rPr>
        <w:t>项目采购活动提供本单位制造的货物（由本单位承担工程/提供服务），或者提供其他残疾人福利性单位制造的货物（不包括使用非残疾人福利性单位注册商标的货物）。</w:t>
      </w:r>
    </w:p>
    <w:p w14:paraId="1BDE457F">
      <w:pPr>
        <w:autoSpaceDE w:val="0"/>
        <w:autoSpaceDN w:val="0"/>
        <w:adjustRightInd w:val="0"/>
        <w:spacing w:line="360" w:lineRule="auto"/>
        <w:ind w:firstLine="480" w:firstLineChars="200"/>
        <w:jc w:val="left"/>
        <w:rPr>
          <w:rFonts w:hint="eastAsia" w:ascii="宋体" w:hAnsi="宋体" w:eastAsia="宋体" w:cs="宋体"/>
          <w:bCs/>
          <w:color w:val="auto"/>
          <w:sz w:val="24"/>
          <w:szCs w:val="24"/>
          <w:highlight w:val="none"/>
          <w:shd w:val="clear" w:color="auto" w:fill="auto"/>
          <w:lang w:val="zh-CN"/>
        </w:rPr>
      </w:pPr>
      <w:r>
        <w:rPr>
          <w:rFonts w:hint="eastAsia" w:ascii="宋体" w:hAnsi="宋体" w:eastAsia="宋体" w:cs="宋体"/>
          <w:bCs/>
          <w:color w:val="auto"/>
          <w:sz w:val="24"/>
          <w:szCs w:val="24"/>
          <w:highlight w:val="none"/>
          <w:shd w:val="clear" w:color="auto" w:fill="auto"/>
          <w:lang w:val="zh-CN"/>
        </w:rPr>
        <w:t>本单位对上述声明的真实性负责。如有虚假，将依法承担相应责任。</w:t>
      </w:r>
    </w:p>
    <w:p w14:paraId="3E187B71">
      <w:pPr>
        <w:autoSpaceDE w:val="0"/>
        <w:autoSpaceDN w:val="0"/>
        <w:adjustRightInd w:val="0"/>
        <w:spacing w:line="360" w:lineRule="auto"/>
        <w:ind w:firstLine="480" w:firstLineChars="200"/>
        <w:jc w:val="left"/>
        <w:rPr>
          <w:rFonts w:hint="eastAsia" w:ascii="宋体" w:hAnsi="宋体" w:eastAsia="宋体" w:cs="宋体"/>
          <w:bCs/>
          <w:color w:val="auto"/>
          <w:sz w:val="24"/>
          <w:szCs w:val="24"/>
          <w:highlight w:val="none"/>
          <w:shd w:val="clear" w:color="auto" w:fill="auto"/>
          <w:lang w:val="zh-CN"/>
        </w:rPr>
      </w:pPr>
    </w:p>
    <w:p w14:paraId="23EBCBA0">
      <w:pPr>
        <w:autoSpaceDE w:val="0"/>
        <w:autoSpaceDN w:val="0"/>
        <w:adjustRightInd w:val="0"/>
        <w:spacing w:line="360" w:lineRule="auto"/>
        <w:ind w:firstLine="480" w:firstLineChars="200"/>
        <w:jc w:val="left"/>
        <w:rPr>
          <w:rFonts w:hint="eastAsia" w:ascii="宋体" w:hAnsi="宋体" w:eastAsia="宋体" w:cs="宋体"/>
          <w:bCs/>
          <w:color w:val="auto"/>
          <w:sz w:val="24"/>
          <w:szCs w:val="24"/>
          <w:highlight w:val="none"/>
          <w:shd w:val="clear" w:color="auto" w:fill="auto"/>
          <w:lang w:val="zh-CN"/>
        </w:rPr>
      </w:pPr>
    </w:p>
    <w:p w14:paraId="55A90EE9">
      <w:pPr>
        <w:autoSpaceDE w:val="0"/>
        <w:autoSpaceDN w:val="0"/>
        <w:adjustRightInd w:val="0"/>
        <w:spacing w:line="360" w:lineRule="auto"/>
        <w:ind w:firstLine="3840" w:firstLineChars="1600"/>
        <w:jc w:val="left"/>
        <w:rPr>
          <w:rFonts w:hint="eastAsia" w:ascii="宋体" w:hAnsi="宋体" w:eastAsia="宋体" w:cs="宋体"/>
          <w:bCs/>
          <w:color w:val="auto"/>
          <w:sz w:val="24"/>
          <w:szCs w:val="24"/>
          <w:highlight w:val="none"/>
          <w:shd w:val="clear" w:color="auto" w:fill="auto"/>
          <w:lang w:val="zh-CN"/>
        </w:rPr>
      </w:pPr>
      <w:r>
        <w:rPr>
          <w:rFonts w:hint="eastAsia" w:ascii="宋体" w:hAnsi="宋体" w:eastAsia="宋体" w:cs="宋体"/>
          <w:bCs/>
          <w:color w:val="auto"/>
          <w:sz w:val="24"/>
          <w:szCs w:val="24"/>
          <w:highlight w:val="none"/>
          <w:shd w:val="clear" w:color="auto" w:fill="auto"/>
          <w:lang w:val="zh-CN"/>
        </w:rPr>
        <w:t>单位名称（盖章）：</w:t>
      </w:r>
    </w:p>
    <w:p w14:paraId="59B899CE">
      <w:pPr>
        <w:autoSpaceDE w:val="0"/>
        <w:autoSpaceDN w:val="0"/>
        <w:adjustRightInd w:val="0"/>
        <w:spacing w:line="360" w:lineRule="auto"/>
        <w:ind w:firstLine="3840" w:firstLineChars="1600"/>
        <w:jc w:val="left"/>
        <w:rPr>
          <w:rFonts w:hint="eastAsia" w:ascii="宋体" w:hAnsi="宋体" w:eastAsia="宋体" w:cs="宋体"/>
          <w:bCs/>
          <w:color w:val="auto"/>
          <w:sz w:val="24"/>
          <w:szCs w:val="24"/>
          <w:highlight w:val="none"/>
          <w:shd w:val="clear" w:color="auto" w:fill="auto"/>
          <w:lang w:val="zh-CN"/>
        </w:rPr>
      </w:pPr>
      <w:r>
        <w:rPr>
          <w:rFonts w:hint="eastAsia" w:ascii="宋体" w:hAnsi="宋体" w:eastAsia="宋体" w:cs="宋体"/>
          <w:bCs/>
          <w:color w:val="auto"/>
          <w:sz w:val="24"/>
          <w:szCs w:val="24"/>
          <w:highlight w:val="none"/>
          <w:shd w:val="clear" w:color="auto" w:fill="auto"/>
          <w:lang w:val="zh-CN"/>
        </w:rPr>
        <w:t>日  期：</w:t>
      </w:r>
    </w:p>
    <w:p w14:paraId="2D345D36">
      <w:pPr>
        <w:adjustRightInd w:val="0"/>
        <w:snapToGrid w:val="0"/>
        <w:spacing w:line="360" w:lineRule="auto"/>
        <w:jc w:val="left"/>
        <w:rPr>
          <w:rFonts w:hint="eastAsia" w:ascii="宋体" w:hAnsi="宋体" w:eastAsia="宋体" w:cs="宋体"/>
          <w:color w:val="auto"/>
          <w:sz w:val="24"/>
          <w:szCs w:val="24"/>
          <w:highlight w:val="none"/>
          <w:shd w:val="clear" w:color="auto" w:fill="auto"/>
        </w:rPr>
      </w:pPr>
    </w:p>
    <w:p w14:paraId="4CFD54C3">
      <w:pPr>
        <w:tabs>
          <w:tab w:val="left" w:pos="1620"/>
          <w:tab w:val="left" w:pos="1800"/>
        </w:tabs>
        <w:spacing w:line="360" w:lineRule="auto"/>
        <w:ind w:right="540" w:rightChars="257"/>
        <w:jc w:val="left"/>
        <w:rPr>
          <w:rFonts w:hint="eastAsia" w:ascii="宋体" w:hAnsi="宋体" w:eastAsia="宋体" w:cs="宋体"/>
          <w:color w:val="auto"/>
          <w:sz w:val="24"/>
          <w:szCs w:val="24"/>
          <w:highlight w:val="none"/>
          <w:shd w:val="clear" w:color="auto" w:fill="auto"/>
        </w:rPr>
      </w:pPr>
    </w:p>
    <w:p w14:paraId="101561AD">
      <w:pPr>
        <w:autoSpaceDE w:val="0"/>
        <w:autoSpaceDN w:val="0"/>
        <w:adjustRightInd w:val="0"/>
        <w:spacing w:line="360" w:lineRule="auto"/>
        <w:jc w:val="left"/>
        <w:rPr>
          <w:rFonts w:hint="eastAsia" w:ascii="宋体" w:hAnsi="宋体" w:eastAsia="宋体" w:cs="宋体"/>
          <w:bCs/>
          <w:color w:val="auto"/>
          <w:sz w:val="24"/>
          <w:szCs w:val="24"/>
          <w:highlight w:val="none"/>
          <w:shd w:val="clear" w:color="auto" w:fill="auto"/>
          <w:lang w:val="zh-CN"/>
        </w:rPr>
      </w:pPr>
    </w:p>
    <w:p w14:paraId="1B3B3985">
      <w:pPr>
        <w:autoSpaceDE w:val="0"/>
        <w:autoSpaceDN w:val="0"/>
        <w:adjustRightInd w:val="0"/>
        <w:spacing w:line="360" w:lineRule="auto"/>
        <w:jc w:val="left"/>
        <w:rPr>
          <w:rFonts w:hint="eastAsia" w:ascii="宋体" w:hAnsi="宋体" w:eastAsia="宋体" w:cs="宋体"/>
          <w:bCs/>
          <w:color w:val="auto"/>
          <w:sz w:val="24"/>
          <w:szCs w:val="24"/>
          <w:highlight w:val="none"/>
          <w:shd w:val="clear" w:color="auto" w:fill="auto"/>
          <w:lang w:val="zh-CN"/>
        </w:rPr>
      </w:pPr>
    </w:p>
    <w:p w14:paraId="4C05CA50">
      <w:pPr>
        <w:autoSpaceDE w:val="0"/>
        <w:autoSpaceDN w:val="0"/>
        <w:adjustRightInd w:val="0"/>
        <w:spacing w:line="360" w:lineRule="auto"/>
        <w:jc w:val="left"/>
        <w:rPr>
          <w:rFonts w:hint="eastAsia" w:ascii="宋体" w:hAnsi="宋体" w:eastAsia="宋体" w:cs="宋体"/>
          <w:bCs/>
          <w:color w:val="auto"/>
          <w:sz w:val="24"/>
          <w:szCs w:val="24"/>
          <w:highlight w:val="none"/>
          <w:shd w:val="clear" w:color="auto" w:fill="auto"/>
          <w:lang w:val="zh-CN"/>
        </w:rPr>
      </w:pPr>
      <w:r>
        <w:rPr>
          <w:rFonts w:hint="eastAsia" w:ascii="宋体" w:hAnsi="宋体" w:eastAsia="宋体" w:cs="宋体"/>
          <w:bCs/>
          <w:color w:val="auto"/>
          <w:sz w:val="24"/>
          <w:szCs w:val="24"/>
          <w:highlight w:val="none"/>
          <w:shd w:val="clear" w:color="auto" w:fill="auto"/>
          <w:lang w:val="zh-CN"/>
        </w:rPr>
        <w:t>注：</w:t>
      </w:r>
      <w:r>
        <w:rPr>
          <w:rFonts w:hint="eastAsia" w:ascii="宋体" w:hAnsi="宋体" w:eastAsia="宋体" w:cs="宋体"/>
          <w:bCs/>
          <w:color w:val="auto"/>
          <w:sz w:val="24"/>
          <w:szCs w:val="24"/>
          <w:highlight w:val="none"/>
          <w:shd w:val="clear" w:color="auto" w:fill="auto"/>
        </w:rPr>
        <w:t>1.</w:t>
      </w:r>
      <w:r>
        <w:rPr>
          <w:rFonts w:hint="eastAsia" w:ascii="宋体" w:hAnsi="宋体" w:eastAsia="宋体" w:cs="宋体"/>
          <w:color w:val="auto"/>
          <w:sz w:val="24"/>
          <w:szCs w:val="24"/>
          <w:highlight w:val="none"/>
          <w:shd w:val="clear" w:color="auto" w:fill="auto"/>
          <w:lang w:val="en-US" w:eastAsia="zh-CN"/>
        </w:rPr>
        <w:t>供应商</w:t>
      </w:r>
      <w:r>
        <w:rPr>
          <w:rFonts w:hint="eastAsia" w:ascii="宋体" w:hAnsi="宋体" w:eastAsia="宋体" w:cs="宋体"/>
          <w:bCs/>
          <w:color w:val="auto"/>
          <w:sz w:val="24"/>
          <w:szCs w:val="24"/>
          <w:highlight w:val="none"/>
          <w:shd w:val="clear" w:color="auto" w:fill="auto"/>
          <w:lang w:val="zh-CN"/>
        </w:rPr>
        <w:t>应仔细阅读《财政部 民政部 中国残疾人联合会关于促进残疾人就业政府采购政策的通知》，并如实填写本表，符合条件的</w:t>
      </w:r>
      <w:r>
        <w:rPr>
          <w:rFonts w:hint="eastAsia" w:ascii="宋体" w:hAnsi="宋体" w:eastAsia="宋体" w:cs="宋体"/>
          <w:color w:val="auto"/>
          <w:sz w:val="24"/>
          <w:szCs w:val="24"/>
          <w:highlight w:val="none"/>
          <w:shd w:val="clear" w:color="auto" w:fill="auto"/>
          <w:lang w:val="en-US" w:eastAsia="zh-CN"/>
        </w:rPr>
        <w:t>供应商</w:t>
      </w:r>
      <w:r>
        <w:rPr>
          <w:rFonts w:hint="eastAsia" w:ascii="宋体" w:hAnsi="宋体" w:eastAsia="宋体" w:cs="宋体"/>
          <w:bCs/>
          <w:color w:val="auto"/>
          <w:sz w:val="24"/>
          <w:szCs w:val="24"/>
          <w:highlight w:val="none"/>
          <w:shd w:val="clear" w:color="auto" w:fill="auto"/>
          <w:lang w:val="zh-CN"/>
        </w:rPr>
        <w:t>未按上述要求提供、填写的，评审时不予以考虑。</w:t>
      </w:r>
    </w:p>
    <w:p w14:paraId="35C75251">
      <w:pPr>
        <w:autoSpaceDE w:val="0"/>
        <w:autoSpaceDN w:val="0"/>
        <w:adjustRightInd w:val="0"/>
        <w:spacing w:line="360" w:lineRule="auto"/>
        <w:ind w:firstLine="480" w:firstLineChars="200"/>
        <w:jc w:val="left"/>
        <w:rPr>
          <w:rFonts w:hint="eastAsia" w:ascii="宋体" w:hAnsi="宋体" w:eastAsia="宋体" w:cs="宋体"/>
          <w:b/>
          <w:color w:val="auto"/>
          <w:sz w:val="24"/>
          <w:szCs w:val="24"/>
          <w:highlight w:val="none"/>
          <w:shd w:val="clear" w:color="auto" w:fill="auto"/>
          <w:lang w:val="zh-CN"/>
        </w:rPr>
      </w:pPr>
      <w:r>
        <w:rPr>
          <w:rFonts w:hint="eastAsia" w:ascii="宋体" w:hAnsi="宋体" w:eastAsia="宋体" w:cs="宋体"/>
          <w:color w:val="auto"/>
          <w:sz w:val="24"/>
          <w:szCs w:val="24"/>
          <w:highlight w:val="none"/>
          <w:shd w:val="clear" w:color="auto" w:fill="auto"/>
        </w:rPr>
        <w:t>2.如不是该类企业则不需提供相关声明，若提供虚假材料谋取中标、成交的，将按照《中华人民共和国政府采购法》第七十七条规定对</w:t>
      </w:r>
      <w:r>
        <w:rPr>
          <w:rFonts w:hint="eastAsia" w:ascii="宋体" w:hAnsi="宋体" w:eastAsia="宋体" w:cs="宋体"/>
          <w:color w:val="auto"/>
          <w:sz w:val="24"/>
          <w:szCs w:val="24"/>
          <w:highlight w:val="none"/>
          <w:shd w:val="clear" w:color="auto" w:fill="auto"/>
          <w:lang w:val="en-US" w:eastAsia="zh-CN"/>
        </w:rPr>
        <w:t>供应商</w:t>
      </w:r>
      <w:r>
        <w:rPr>
          <w:rFonts w:hint="eastAsia" w:ascii="宋体" w:hAnsi="宋体" w:eastAsia="宋体" w:cs="宋体"/>
          <w:color w:val="auto"/>
          <w:sz w:val="24"/>
          <w:szCs w:val="24"/>
          <w:highlight w:val="none"/>
          <w:shd w:val="clear" w:color="auto" w:fill="auto"/>
        </w:rPr>
        <w:t>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F29734F">
      <w:pPr>
        <w:pStyle w:val="7"/>
        <w:spacing w:line="360" w:lineRule="auto"/>
        <w:jc w:val="left"/>
        <w:rPr>
          <w:rFonts w:hint="eastAsia" w:ascii="宋体" w:hAnsi="宋体" w:eastAsia="宋体" w:cs="宋体"/>
          <w:color w:val="auto"/>
          <w:highlight w:val="none"/>
          <w:shd w:val="clear" w:color="auto" w:fill="auto"/>
        </w:rPr>
      </w:pPr>
    </w:p>
    <w:p w14:paraId="3935BF95">
      <w:pPr>
        <w:pStyle w:val="7"/>
        <w:spacing w:line="360" w:lineRule="auto"/>
        <w:jc w:val="both"/>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30"/>
          <w:szCs w:val="30"/>
          <w:highlight w:val="none"/>
          <w:shd w:val="clear" w:color="auto" w:fill="auto"/>
        </w:rPr>
        <w:br w:type="page"/>
      </w:r>
      <w:r>
        <w:rPr>
          <w:rFonts w:hint="eastAsia" w:ascii="宋体" w:hAnsi="宋体" w:eastAsia="宋体" w:cs="宋体"/>
          <w:b/>
          <w:bCs/>
          <w:color w:val="auto"/>
          <w:sz w:val="24"/>
          <w:szCs w:val="24"/>
          <w:highlight w:val="none"/>
          <w:shd w:val="clear" w:color="auto" w:fill="auto"/>
          <w:lang w:val="en-US" w:eastAsia="zh-CN"/>
        </w:rPr>
        <w:t>附件3：</w:t>
      </w:r>
    </w:p>
    <w:p w14:paraId="20637BE9">
      <w:pPr>
        <w:pStyle w:val="7"/>
        <w:spacing w:line="360" w:lineRule="auto"/>
        <w:jc w:val="center"/>
        <w:rPr>
          <w:rFonts w:hint="eastAsia" w:ascii="宋体" w:hAnsi="宋体" w:eastAsia="宋体" w:cs="宋体"/>
          <w:b/>
          <w:bCs/>
          <w:color w:val="auto"/>
          <w:sz w:val="24"/>
          <w:szCs w:val="24"/>
          <w:highlight w:val="none"/>
          <w:shd w:val="clear" w:color="auto" w:fill="auto"/>
          <w:lang w:eastAsia="zh-CN"/>
        </w:rPr>
      </w:pPr>
      <w:r>
        <w:rPr>
          <w:rFonts w:hint="eastAsia" w:ascii="宋体" w:hAnsi="宋体" w:eastAsia="宋体" w:cs="宋体"/>
          <w:b/>
          <w:bCs/>
          <w:color w:val="auto"/>
          <w:sz w:val="24"/>
          <w:szCs w:val="24"/>
          <w:highlight w:val="none"/>
          <w:shd w:val="clear" w:color="auto" w:fill="auto"/>
          <w:lang w:eastAsia="zh-CN"/>
        </w:rPr>
        <w:t>监狱企业证明文件</w:t>
      </w:r>
    </w:p>
    <w:p w14:paraId="69C86924">
      <w:pPr>
        <w:spacing w:line="360" w:lineRule="auto"/>
        <w:ind w:firstLine="480" w:firstLineChars="200"/>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1E0C4ED">
      <w:pPr>
        <w:spacing w:line="360" w:lineRule="auto"/>
        <w:ind w:firstLine="480" w:firstLineChars="200"/>
        <w:jc w:val="left"/>
        <w:rPr>
          <w:rFonts w:hint="eastAsia" w:ascii="宋体" w:hAnsi="宋体" w:eastAsia="宋体" w:cs="宋体"/>
          <w:b/>
          <w:bCs/>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监狱企业参加政府采购活动时，应当提供由省级以上监狱管理局、戒毒管理局（含新疆生产建设兵团）出具的属于监狱企业的证明文件。</w:t>
      </w:r>
    </w:p>
    <w:p w14:paraId="669BFFA4">
      <w:pPr>
        <w:spacing w:before="156" w:beforeLines="50" w:after="312" w:afterLines="100" w:line="360" w:lineRule="auto"/>
        <w:jc w:val="left"/>
        <w:rPr>
          <w:rFonts w:hint="eastAsia" w:ascii="宋体" w:hAnsi="宋体" w:eastAsia="宋体" w:cs="宋体"/>
          <w:b/>
          <w:bCs/>
          <w:color w:val="auto"/>
          <w:sz w:val="24"/>
          <w:szCs w:val="24"/>
          <w:highlight w:val="none"/>
          <w:shd w:val="clear" w:color="auto" w:fill="auto"/>
        </w:rPr>
      </w:pPr>
    </w:p>
    <w:p w14:paraId="1BAFD648">
      <w:pPr>
        <w:spacing w:before="156" w:beforeLines="50" w:after="312" w:afterLines="100" w:line="360" w:lineRule="auto"/>
        <w:jc w:val="left"/>
        <w:rPr>
          <w:rFonts w:hint="eastAsia" w:ascii="宋体" w:hAnsi="宋体" w:eastAsia="宋体" w:cs="宋体"/>
          <w:b/>
          <w:bCs/>
          <w:color w:val="auto"/>
          <w:sz w:val="24"/>
          <w:szCs w:val="24"/>
          <w:highlight w:val="none"/>
          <w:shd w:val="clear" w:color="auto" w:fill="auto"/>
        </w:rPr>
      </w:pPr>
    </w:p>
    <w:p w14:paraId="19580196">
      <w:pPr>
        <w:spacing w:before="156" w:beforeLines="50" w:after="312" w:afterLines="100" w:line="360" w:lineRule="auto"/>
        <w:jc w:val="left"/>
        <w:rPr>
          <w:rFonts w:hint="eastAsia" w:ascii="宋体" w:hAnsi="宋体" w:eastAsia="宋体" w:cs="宋体"/>
          <w:b/>
          <w:bCs/>
          <w:color w:val="auto"/>
          <w:sz w:val="24"/>
          <w:szCs w:val="24"/>
          <w:highlight w:val="none"/>
          <w:shd w:val="clear" w:color="auto" w:fill="auto"/>
        </w:rPr>
      </w:pPr>
    </w:p>
    <w:p w14:paraId="0C28A70B">
      <w:pPr>
        <w:adjustRightInd w:val="0"/>
        <w:snapToGrid w:val="0"/>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说明：</w:t>
      </w:r>
    </w:p>
    <w:p w14:paraId="55B3D241">
      <w:pPr>
        <w:adjustRightInd w:val="0"/>
        <w:snapToGrid w:val="0"/>
        <w:spacing w:line="360" w:lineRule="auto"/>
        <w:ind w:firstLine="525"/>
        <w:rPr>
          <w:rFonts w:hint="eastAsia" w:ascii="宋体" w:hAnsi="宋体" w:eastAsia="宋体" w:cs="宋体"/>
          <w:bCs/>
          <w:color w:val="auto"/>
          <w:sz w:val="24"/>
          <w:szCs w:val="24"/>
          <w:highlight w:val="none"/>
          <w:shd w:val="clear" w:color="auto" w:fill="auto"/>
        </w:rPr>
      </w:pPr>
      <w:r>
        <w:rPr>
          <w:rFonts w:hint="eastAsia" w:ascii="宋体" w:hAnsi="宋体" w:eastAsia="宋体" w:cs="宋体"/>
          <w:bCs/>
          <w:color w:val="auto"/>
          <w:sz w:val="24"/>
          <w:szCs w:val="24"/>
          <w:highlight w:val="none"/>
          <w:shd w:val="clear" w:color="auto" w:fill="auto"/>
        </w:rPr>
        <w:t>1.无格式要求，由出具监狱企业证明的单位自行拟定；</w:t>
      </w:r>
    </w:p>
    <w:p w14:paraId="19B7CFA1">
      <w:pPr>
        <w:adjustRightInd w:val="0"/>
        <w:snapToGrid w:val="0"/>
        <w:spacing w:line="360" w:lineRule="auto"/>
        <w:ind w:firstLine="525"/>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4"/>
          <w:szCs w:val="24"/>
          <w:highlight w:val="none"/>
          <w:shd w:val="clear" w:color="auto" w:fill="auto"/>
        </w:rPr>
        <w:t>2.如不是该类企业则不需提供相关声明，若提供虚假材料谋取中标、成交的，将按照《中华人民共和国政府采购法》第七十七条规定对</w:t>
      </w:r>
      <w:r>
        <w:rPr>
          <w:rFonts w:hint="eastAsia" w:ascii="宋体" w:hAnsi="宋体" w:eastAsia="宋体" w:cs="宋体"/>
          <w:color w:val="auto"/>
          <w:sz w:val="24"/>
          <w:szCs w:val="24"/>
          <w:highlight w:val="none"/>
          <w:shd w:val="clear" w:color="auto" w:fill="auto"/>
          <w:lang w:val="en-US" w:eastAsia="zh-CN"/>
        </w:rPr>
        <w:t>供应商</w:t>
      </w:r>
      <w:r>
        <w:rPr>
          <w:rFonts w:hint="eastAsia" w:ascii="宋体" w:hAnsi="宋体" w:eastAsia="宋体" w:cs="宋体"/>
          <w:color w:val="auto"/>
          <w:sz w:val="24"/>
          <w:szCs w:val="24"/>
          <w:highlight w:val="none"/>
          <w:shd w:val="clear" w:color="auto" w:fill="auto"/>
        </w:rPr>
        <w:t>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5817286">
      <w:pPr>
        <w:widowControl w:val="0"/>
        <w:spacing w:line="440" w:lineRule="exact"/>
        <w:jc w:val="center"/>
        <w:rPr>
          <w:rFonts w:hint="eastAsia" w:ascii="宋体" w:hAnsi="宋体" w:eastAsia="宋体" w:cs="宋体"/>
          <w:color w:val="000000"/>
          <w:sz w:val="21"/>
          <w:szCs w:val="21"/>
          <w:highlight w:val="none"/>
        </w:rPr>
      </w:pPr>
    </w:p>
    <w:p w14:paraId="1250FA31">
      <w:pPr>
        <w:widowControl w:val="0"/>
        <w:spacing w:line="440" w:lineRule="exact"/>
        <w:jc w:val="center"/>
        <w:rPr>
          <w:rFonts w:hint="eastAsia" w:ascii="宋体" w:hAnsi="宋体" w:eastAsia="宋体" w:cs="宋体"/>
          <w:color w:val="000000"/>
          <w:sz w:val="21"/>
          <w:szCs w:val="21"/>
          <w:highlight w:val="none"/>
        </w:rPr>
      </w:pPr>
    </w:p>
    <w:p w14:paraId="372E3B47">
      <w:pPr>
        <w:widowControl w:val="0"/>
        <w:spacing w:line="440" w:lineRule="exact"/>
        <w:jc w:val="center"/>
        <w:rPr>
          <w:rFonts w:hint="eastAsia" w:ascii="宋体" w:hAnsi="宋体" w:eastAsia="宋体" w:cs="宋体"/>
          <w:color w:val="000000"/>
          <w:sz w:val="21"/>
          <w:szCs w:val="21"/>
          <w:highlight w:val="none"/>
        </w:rPr>
      </w:pPr>
    </w:p>
    <w:p w14:paraId="55809726">
      <w:pPr>
        <w:widowControl w:val="0"/>
        <w:spacing w:line="440" w:lineRule="exact"/>
        <w:jc w:val="center"/>
        <w:rPr>
          <w:rFonts w:hint="eastAsia" w:ascii="宋体" w:hAnsi="宋体" w:eastAsia="宋体" w:cs="宋体"/>
          <w:color w:val="000000"/>
          <w:sz w:val="21"/>
          <w:szCs w:val="21"/>
          <w:highlight w:val="none"/>
        </w:rPr>
      </w:pPr>
    </w:p>
    <w:p w14:paraId="7BB7C30A">
      <w:pPr>
        <w:widowControl w:val="0"/>
        <w:spacing w:line="440" w:lineRule="exact"/>
        <w:jc w:val="center"/>
        <w:rPr>
          <w:rFonts w:hint="eastAsia" w:ascii="宋体" w:hAnsi="宋体" w:eastAsia="宋体" w:cs="宋体"/>
          <w:color w:val="000000"/>
          <w:sz w:val="21"/>
          <w:szCs w:val="21"/>
          <w:highlight w:val="none"/>
        </w:rPr>
      </w:pPr>
    </w:p>
    <w:p w14:paraId="56D413C1">
      <w:pPr>
        <w:widowControl w:val="0"/>
        <w:spacing w:line="440" w:lineRule="exact"/>
        <w:jc w:val="center"/>
        <w:rPr>
          <w:rFonts w:hint="eastAsia" w:ascii="宋体" w:hAnsi="宋体" w:eastAsia="宋体" w:cs="宋体"/>
          <w:color w:val="000000"/>
          <w:sz w:val="21"/>
          <w:szCs w:val="21"/>
          <w:highlight w:val="none"/>
        </w:rPr>
      </w:pPr>
    </w:p>
    <w:p w14:paraId="5606CBFC">
      <w:pPr>
        <w:spacing w:line="360" w:lineRule="atLeast"/>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sz w:val="28"/>
          <w:szCs w:val="28"/>
          <w:highlight w:val="none"/>
          <w:shd w:val="clear" w:color="auto" w:fill="auto"/>
        </w:rPr>
        <w:br w:type="page"/>
      </w:r>
      <w:r>
        <w:rPr>
          <w:rFonts w:hint="eastAsia" w:ascii="宋体" w:hAnsi="宋体" w:eastAsia="宋体" w:cs="宋体"/>
          <w:color w:val="auto"/>
          <w:sz w:val="28"/>
          <w:szCs w:val="28"/>
          <w:highlight w:val="none"/>
          <w:shd w:val="clear" w:color="auto" w:fill="auto"/>
        </w:rPr>
        <w:t xml:space="preserve"> </w:t>
      </w:r>
      <w:r>
        <w:rPr>
          <w:rFonts w:hint="eastAsia" w:ascii="宋体" w:hAnsi="宋体" w:eastAsia="宋体" w:cs="宋体"/>
          <w:b/>
          <w:color w:val="auto"/>
          <w:sz w:val="32"/>
          <w:szCs w:val="32"/>
          <w:highlight w:val="none"/>
          <w:shd w:val="clear" w:color="auto" w:fill="auto"/>
        </w:rPr>
        <w:t>第</w:t>
      </w:r>
      <w:r>
        <w:rPr>
          <w:rFonts w:hint="eastAsia" w:ascii="宋体" w:hAnsi="宋体" w:eastAsia="宋体" w:cs="宋体"/>
          <w:b/>
          <w:color w:val="auto"/>
          <w:sz w:val="32"/>
          <w:szCs w:val="32"/>
          <w:highlight w:val="none"/>
          <w:shd w:val="clear" w:color="auto" w:fill="auto"/>
          <w:lang w:val="en-US" w:eastAsia="zh-CN"/>
        </w:rPr>
        <w:t>五</w:t>
      </w:r>
      <w:r>
        <w:rPr>
          <w:rFonts w:hint="eastAsia" w:ascii="宋体" w:hAnsi="宋体" w:eastAsia="宋体" w:cs="宋体"/>
          <w:b/>
          <w:color w:val="auto"/>
          <w:sz w:val="32"/>
          <w:szCs w:val="32"/>
          <w:highlight w:val="none"/>
          <w:shd w:val="clear" w:color="auto" w:fill="auto"/>
        </w:rPr>
        <w:t>部分  投标方案说明</w:t>
      </w:r>
    </w:p>
    <w:p w14:paraId="3F252058">
      <w:pPr>
        <w:spacing w:line="500" w:lineRule="exact"/>
        <w:jc w:val="center"/>
        <w:outlineLvl w:val="0"/>
        <w:rPr>
          <w:rFonts w:hint="eastAsia" w:ascii="宋体" w:hAnsi="宋体" w:eastAsia="宋体" w:cs="宋体"/>
          <w:b/>
          <w:color w:val="auto"/>
          <w:sz w:val="32"/>
          <w:szCs w:val="32"/>
          <w:highlight w:val="none"/>
          <w:shd w:val="clear" w:color="auto" w:fill="auto"/>
        </w:rPr>
      </w:pPr>
      <w:r>
        <w:rPr>
          <w:rFonts w:hint="eastAsia" w:ascii="宋体" w:hAnsi="宋体" w:eastAsia="宋体" w:cs="宋体"/>
          <w:highlight w:val="none"/>
          <w:lang w:val="en-US" w:eastAsia="zh-CN"/>
        </w:rPr>
        <w:t>（投标人根据采购需求、商务要求及评审方法等内容自主编写技术方案及货物相关证明材料）</w:t>
      </w:r>
      <w:r>
        <w:rPr>
          <w:rFonts w:hint="eastAsia" w:ascii="宋体" w:hAnsi="宋体" w:eastAsia="宋体" w:cs="宋体"/>
          <w:color w:val="auto"/>
          <w:sz w:val="24"/>
          <w:highlight w:val="none"/>
          <w:shd w:val="clear" w:color="auto" w:fill="auto"/>
        </w:rPr>
        <w:br w:type="page"/>
      </w:r>
      <w:bookmarkStart w:id="214" w:name="_Toc22286"/>
      <w:bookmarkStart w:id="215" w:name="_Toc29789"/>
      <w:bookmarkStart w:id="216" w:name="_Toc13005"/>
      <w:bookmarkStart w:id="217" w:name="_Toc5298"/>
      <w:bookmarkStart w:id="218" w:name="_Toc7387"/>
      <w:r>
        <w:rPr>
          <w:rFonts w:hint="eastAsia" w:ascii="宋体" w:hAnsi="宋体" w:eastAsia="宋体" w:cs="宋体"/>
          <w:b/>
          <w:color w:val="auto"/>
          <w:sz w:val="32"/>
          <w:szCs w:val="32"/>
          <w:highlight w:val="none"/>
          <w:shd w:val="clear" w:color="auto" w:fill="auto"/>
        </w:rPr>
        <w:t>第</w:t>
      </w:r>
      <w:r>
        <w:rPr>
          <w:rFonts w:hint="eastAsia" w:ascii="宋体" w:hAnsi="宋体" w:eastAsia="宋体" w:cs="宋体"/>
          <w:b/>
          <w:color w:val="auto"/>
          <w:sz w:val="32"/>
          <w:szCs w:val="32"/>
          <w:highlight w:val="none"/>
          <w:shd w:val="clear" w:color="auto" w:fill="auto"/>
          <w:lang w:val="en-US" w:eastAsia="zh-CN"/>
        </w:rPr>
        <w:t>六</w:t>
      </w:r>
      <w:r>
        <w:rPr>
          <w:rFonts w:hint="eastAsia" w:ascii="宋体" w:hAnsi="宋体" w:eastAsia="宋体" w:cs="宋体"/>
          <w:b/>
          <w:color w:val="auto"/>
          <w:sz w:val="32"/>
          <w:szCs w:val="32"/>
          <w:highlight w:val="none"/>
          <w:shd w:val="clear" w:color="auto" w:fill="auto"/>
        </w:rPr>
        <w:t xml:space="preserve">部分  </w:t>
      </w:r>
      <w:r>
        <w:rPr>
          <w:rFonts w:hint="eastAsia" w:ascii="宋体" w:hAnsi="宋体" w:eastAsia="宋体" w:cs="宋体"/>
          <w:b/>
          <w:color w:val="auto"/>
          <w:sz w:val="32"/>
          <w:szCs w:val="32"/>
          <w:highlight w:val="none"/>
          <w:shd w:val="clear" w:color="auto" w:fill="auto"/>
          <w:lang w:eastAsia="zh-CN"/>
        </w:rPr>
        <w:t>供应商</w:t>
      </w:r>
      <w:r>
        <w:rPr>
          <w:rFonts w:hint="eastAsia" w:ascii="宋体" w:hAnsi="宋体" w:eastAsia="宋体" w:cs="宋体"/>
          <w:b/>
          <w:color w:val="auto"/>
          <w:sz w:val="32"/>
          <w:szCs w:val="32"/>
          <w:highlight w:val="none"/>
          <w:shd w:val="clear" w:color="auto" w:fill="auto"/>
        </w:rPr>
        <w:t>承诺书</w:t>
      </w:r>
      <w:bookmarkEnd w:id="214"/>
      <w:bookmarkEnd w:id="215"/>
      <w:bookmarkEnd w:id="216"/>
      <w:bookmarkEnd w:id="217"/>
      <w:bookmarkEnd w:id="218"/>
    </w:p>
    <w:p w14:paraId="43057118">
      <w:pPr>
        <w:widowControl/>
        <w:spacing w:line="480" w:lineRule="exact"/>
        <w:jc w:val="center"/>
        <w:outlineLvl w:val="0"/>
        <w:rPr>
          <w:rFonts w:hint="eastAsia" w:ascii="宋体" w:hAnsi="宋体" w:eastAsia="宋体" w:cs="宋体"/>
          <w:b/>
          <w:bCs/>
          <w:color w:val="auto"/>
          <w:kern w:val="0"/>
          <w:sz w:val="32"/>
          <w:szCs w:val="32"/>
          <w:highlight w:val="none"/>
          <w:shd w:val="clear" w:color="auto" w:fill="auto"/>
        </w:rPr>
      </w:pPr>
      <w:bookmarkStart w:id="219" w:name="_Toc30825"/>
      <w:bookmarkStart w:id="220" w:name="_Toc24529"/>
      <w:bookmarkStart w:id="221" w:name="_Toc9857"/>
      <w:bookmarkStart w:id="222" w:name="_Toc25855"/>
      <w:bookmarkStart w:id="223" w:name="_Toc29339"/>
      <w:bookmarkStart w:id="224" w:name="_Toc11964_WPSOffice_Level1"/>
      <w:bookmarkStart w:id="225" w:name="_Toc26669_WPSOffice_Level1"/>
      <w:bookmarkStart w:id="226" w:name="_Toc13512_WPSOffice_Level1"/>
      <w:bookmarkStart w:id="227" w:name="_Toc30991"/>
      <w:r>
        <w:rPr>
          <w:rFonts w:hint="eastAsia" w:ascii="宋体" w:hAnsi="宋体" w:eastAsia="宋体" w:cs="宋体"/>
          <w:b/>
          <w:bCs/>
          <w:color w:val="auto"/>
          <w:kern w:val="0"/>
          <w:sz w:val="32"/>
          <w:szCs w:val="32"/>
          <w:highlight w:val="none"/>
          <w:shd w:val="clear" w:color="auto" w:fill="auto"/>
        </w:rPr>
        <w:t>陕西省政府采购供应商</w:t>
      </w:r>
      <w:bookmarkEnd w:id="219"/>
      <w:bookmarkEnd w:id="220"/>
      <w:bookmarkEnd w:id="221"/>
      <w:bookmarkEnd w:id="222"/>
      <w:bookmarkEnd w:id="223"/>
      <w:bookmarkEnd w:id="224"/>
      <w:bookmarkEnd w:id="225"/>
      <w:bookmarkEnd w:id="226"/>
      <w:bookmarkEnd w:id="227"/>
    </w:p>
    <w:p w14:paraId="2077CC0D">
      <w:pPr>
        <w:widowControl/>
        <w:spacing w:line="480" w:lineRule="exact"/>
        <w:jc w:val="center"/>
        <w:outlineLvl w:val="0"/>
        <w:rPr>
          <w:rFonts w:hint="eastAsia" w:ascii="宋体" w:hAnsi="宋体" w:eastAsia="宋体" w:cs="宋体"/>
          <w:b/>
          <w:bCs/>
          <w:color w:val="auto"/>
          <w:kern w:val="0"/>
          <w:sz w:val="32"/>
          <w:szCs w:val="32"/>
          <w:highlight w:val="none"/>
          <w:shd w:val="clear" w:color="auto" w:fill="auto"/>
        </w:rPr>
      </w:pPr>
      <w:bookmarkStart w:id="228" w:name="_Toc10655"/>
      <w:bookmarkStart w:id="229" w:name="_Toc32635_WPSOffice_Level1"/>
      <w:bookmarkStart w:id="230" w:name="_Toc1065_WPSOffice_Level1"/>
      <w:bookmarkStart w:id="231" w:name="_Toc1500"/>
      <w:bookmarkStart w:id="232" w:name="_Toc27460"/>
      <w:bookmarkStart w:id="233" w:name="_Toc14572_WPSOffice_Level1"/>
      <w:bookmarkStart w:id="234" w:name="_Toc12308"/>
      <w:bookmarkStart w:id="235" w:name="_Toc18426"/>
      <w:bookmarkStart w:id="236" w:name="_Toc22367"/>
      <w:r>
        <w:rPr>
          <w:rFonts w:hint="eastAsia" w:ascii="宋体" w:hAnsi="宋体" w:eastAsia="宋体" w:cs="宋体"/>
          <w:b/>
          <w:bCs/>
          <w:color w:val="auto"/>
          <w:kern w:val="0"/>
          <w:sz w:val="32"/>
          <w:szCs w:val="32"/>
          <w:highlight w:val="none"/>
          <w:shd w:val="clear" w:color="auto" w:fill="auto"/>
        </w:rPr>
        <w:t>拒绝政府采购领域商业贿赂承诺书</w:t>
      </w:r>
      <w:bookmarkEnd w:id="228"/>
      <w:bookmarkEnd w:id="229"/>
      <w:bookmarkEnd w:id="230"/>
      <w:bookmarkEnd w:id="231"/>
      <w:bookmarkEnd w:id="232"/>
      <w:bookmarkEnd w:id="233"/>
      <w:bookmarkEnd w:id="234"/>
      <w:bookmarkEnd w:id="235"/>
      <w:bookmarkEnd w:id="236"/>
    </w:p>
    <w:p w14:paraId="048223CB">
      <w:pPr>
        <w:widowControl/>
        <w:spacing w:line="240" w:lineRule="exact"/>
        <w:ind w:firstLine="420" w:firstLineChars="200"/>
        <w:jc w:val="left"/>
        <w:rPr>
          <w:rFonts w:hint="eastAsia" w:ascii="宋体" w:hAnsi="宋体" w:eastAsia="宋体" w:cs="宋体"/>
          <w:color w:val="auto"/>
          <w:kern w:val="0"/>
          <w:highlight w:val="none"/>
          <w:shd w:val="clear" w:color="auto" w:fill="auto"/>
        </w:rPr>
      </w:pPr>
    </w:p>
    <w:p w14:paraId="39C12CB3">
      <w:pPr>
        <w:widowControl/>
        <w:spacing w:line="440" w:lineRule="exact"/>
        <w:ind w:firstLine="480" w:firstLineChars="200"/>
        <w:rPr>
          <w:rFonts w:hint="eastAsia" w:ascii="宋体" w:hAnsi="宋体" w:eastAsia="宋体" w:cs="宋体"/>
          <w:color w:val="auto"/>
          <w:kern w:val="0"/>
          <w:sz w:val="24"/>
          <w:highlight w:val="none"/>
          <w:shd w:val="clear" w:color="auto" w:fill="auto"/>
          <w:lang w:eastAsia="zh-CN"/>
        </w:rPr>
      </w:pPr>
      <w:r>
        <w:rPr>
          <w:rFonts w:hint="eastAsia" w:ascii="宋体" w:hAnsi="宋体" w:eastAsia="宋体" w:cs="宋体"/>
          <w:color w:val="auto"/>
          <w:kern w:val="0"/>
          <w:sz w:val="24"/>
          <w:highlight w:val="none"/>
          <w:shd w:val="clear" w:color="auto" w:fill="auto"/>
        </w:rPr>
        <w:t xml:space="preserve">为响应党中央、国务院关于治理政府采购领域商业贿赂行为的号召，我单位在此庄严承诺： </w:t>
      </w:r>
    </w:p>
    <w:p w14:paraId="4CF5348E">
      <w:pPr>
        <w:widowControl/>
        <w:spacing w:line="440" w:lineRule="exact"/>
        <w:ind w:firstLine="480" w:firstLineChars="200"/>
        <w:rPr>
          <w:rFonts w:hint="eastAsia" w:ascii="宋体" w:hAnsi="宋体" w:eastAsia="宋体" w:cs="宋体"/>
          <w:color w:val="auto"/>
          <w:kern w:val="0"/>
          <w:sz w:val="24"/>
          <w:highlight w:val="none"/>
          <w:shd w:val="clear" w:color="auto" w:fill="auto"/>
          <w:lang w:eastAsia="zh-CN"/>
        </w:rPr>
      </w:pPr>
      <w:r>
        <w:rPr>
          <w:rFonts w:hint="eastAsia" w:ascii="宋体" w:hAnsi="宋体" w:eastAsia="宋体" w:cs="宋体"/>
          <w:color w:val="auto"/>
          <w:kern w:val="0"/>
          <w:sz w:val="24"/>
          <w:highlight w:val="none"/>
          <w:shd w:val="clear" w:color="auto" w:fill="auto"/>
        </w:rPr>
        <w:t xml:space="preserve">　　  1、在参与政府采购活动中遵纪守法、诚信经营、公平竞标。 </w:t>
      </w:r>
    </w:p>
    <w:p w14:paraId="5E525A6E">
      <w:pPr>
        <w:widowControl/>
        <w:spacing w:line="440" w:lineRule="exact"/>
        <w:ind w:firstLine="480" w:firstLineChars="200"/>
        <w:rPr>
          <w:rFonts w:hint="eastAsia" w:ascii="宋体" w:hAnsi="宋体" w:eastAsia="宋体" w:cs="宋体"/>
          <w:color w:val="auto"/>
          <w:kern w:val="0"/>
          <w:sz w:val="24"/>
          <w:highlight w:val="none"/>
          <w:shd w:val="clear" w:color="auto" w:fill="auto"/>
          <w:lang w:eastAsia="zh-CN"/>
        </w:rPr>
      </w:pPr>
      <w:r>
        <w:rPr>
          <w:rFonts w:hint="eastAsia" w:ascii="宋体" w:hAnsi="宋体" w:eastAsia="宋体" w:cs="宋体"/>
          <w:color w:val="auto"/>
          <w:kern w:val="0"/>
          <w:sz w:val="24"/>
          <w:highlight w:val="none"/>
          <w:shd w:val="clear" w:color="auto" w:fill="auto"/>
        </w:rPr>
        <w:t xml:space="preserve">　　  2、不向招标人、招标代理机构和政府采购评审专家进行任何形式的商业贿赂以谋取交易机会。 </w:t>
      </w:r>
    </w:p>
    <w:p w14:paraId="76161B35">
      <w:pPr>
        <w:widowControl/>
        <w:spacing w:line="440" w:lineRule="exact"/>
        <w:ind w:firstLine="480" w:firstLineChars="200"/>
        <w:rPr>
          <w:rFonts w:hint="eastAsia" w:ascii="宋体" w:hAnsi="宋体" w:eastAsia="宋体" w:cs="宋体"/>
          <w:color w:val="auto"/>
          <w:kern w:val="0"/>
          <w:sz w:val="24"/>
          <w:highlight w:val="none"/>
          <w:shd w:val="clear" w:color="auto" w:fill="auto"/>
          <w:lang w:eastAsia="zh-CN"/>
        </w:rPr>
      </w:pPr>
      <w:r>
        <w:rPr>
          <w:rFonts w:hint="eastAsia" w:ascii="宋体" w:hAnsi="宋体" w:eastAsia="宋体" w:cs="宋体"/>
          <w:color w:val="auto"/>
          <w:kern w:val="0"/>
          <w:sz w:val="24"/>
          <w:highlight w:val="none"/>
          <w:shd w:val="clear" w:color="auto" w:fill="auto"/>
        </w:rPr>
        <w:t xml:space="preserve">    3、不向政府采购招标代理机构和招标人提供虚假资质文件或采用虚假应标方式参与政府采购市场竞争并谋取成交、成交。 </w:t>
      </w:r>
    </w:p>
    <w:p w14:paraId="539D033C">
      <w:pPr>
        <w:widowControl/>
        <w:spacing w:line="440" w:lineRule="exact"/>
        <w:ind w:firstLine="480" w:firstLineChars="200"/>
        <w:rPr>
          <w:rFonts w:hint="eastAsia" w:ascii="宋体" w:hAnsi="宋体" w:eastAsia="宋体" w:cs="宋体"/>
          <w:color w:val="auto"/>
          <w:kern w:val="0"/>
          <w:sz w:val="24"/>
          <w:highlight w:val="none"/>
          <w:shd w:val="clear" w:color="auto" w:fill="auto"/>
          <w:lang w:eastAsia="zh-CN"/>
        </w:rPr>
      </w:pPr>
      <w:r>
        <w:rPr>
          <w:rFonts w:hint="eastAsia" w:ascii="宋体" w:hAnsi="宋体" w:eastAsia="宋体" w:cs="宋体"/>
          <w:color w:val="auto"/>
          <w:kern w:val="0"/>
          <w:sz w:val="24"/>
          <w:highlight w:val="none"/>
          <w:shd w:val="clear" w:color="auto" w:fill="auto"/>
        </w:rPr>
        <w:t xml:space="preserve">    4、不采取“围标、陪标”等商业欺诈手段获得政府采购定单。 </w:t>
      </w:r>
    </w:p>
    <w:p w14:paraId="5BE4A23C">
      <w:pPr>
        <w:widowControl/>
        <w:spacing w:line="440" w:lineRule="exact"/>
        <w:ind w:firstLine="480" w:firstLineChars="200"/>
        <w:rPr>
          <w:rFonts w:hint="eastAsia" w:ascii="宋体" w:hAnsi="宋体" w:eastAsia="宋体" w:cs="宋体"/>
          <w:color w:val="auto"/>
          <w:kern w:val="0"/>
          <w:sz w:val="24"/>
          <w:highlight w:val="none"/>
          <w:shd w:val="clear" w:color="auto" w:fill="auto"/>
          <w:lang w:eastAsia="zh-CN"/>
        </w:rPr>
      </w:pPr>
      <w:r>
        <w:rPr>
          <w:rFonts w:hint="eastAsia" w:ascii="宋体" w:hAnsi="宋体" w:eastAsia="宋体" w:cs="宋体"/>
          <w:color w:val="auto"/>
          <w:kern w:val="0"/>
          <w:sz w:val="24"/>
          <w:highlight w:val="none"/>
          <w:shd w:val="clear" w:color="auto" w:fill="auto"/>
        </w:rPr>
        <w:t xml:space="preserve">    5、不采取不正当手段低毁、排挤其他供应商。 </w:t>
      </w:r>
    </w:p>
    <w:p w14:paraId="7B3F0FB1">
      <w:pPr>
        <w:widowControl/>
        <w:spacing w:line="440" w:lineRule="exact"/>
        <w:ind w:firstLine="480" w:firstLineChars="200"/>
        <w:rPr>
          <w:rFonts w:hint="eastAsia" w:ascii="宋体" w:hAnsi="宋体" w:eastAsia="宋体" w:cs="宋体"/>
          <w:color w:val="auto"/>
          <w:kern w:val="0"/>
          <w:sz w:val="24"/>
          <w:highlight w:val="none"/>
          <w:shd w:val="clear" w:color="auto" w:fill="auto"/>
          <w:lang w:eastAsia="zh-CN"/>
        </w:rPr>
      </w:pPr>
      <w:r>
        <w:rPr>
          <w:rFonts w:hint="eastAsia" w:ascii="宋体" w:hAnsi="宋体" w:eastAsia="宋体" w:cs="宋体"/>
          <w:color w:val="auto"/>
          <w:kern w:val="0"/>
          <w:sz w:val="24"/>
          <w:highlight w:val="none"/>
          <w:shd w:val="clear" w:color="auto" w:fill="auto"/>
        </w:rPr>
        <w:t xml:space="preserve">    6、不在提供商品和服务时“偷梁换柱、以次充好”损害招标人的合法权益。 </w:t>
      </w:r>
    </w:p>
    <w:p w14:paraId="32F3F6A0">
      <w:pPr>
        <w:widowControl/>
        <w:spacing w:line="440" w:lineRule="exact"/>
        <w:ind w:firstLine="480" w:firstLineChars="200"/>
        <w:rPr>
          <w:rFonts w:hint="eastAsia" w:ascii="宋体" w:hAnsi="宋体" w:eastAsia="宋体" w:cs="宋体"/>
          <w:color w:val="auto"/>
          <w:kern w:val="0"/>
          <w:sz w:val="24"/>
          <w:highlight w:val="none"/>
          <w:shd w:val="clear" w:color="auto" w:fill="auto"/>
          <w:lang w:eastAsia="zh-CN"/>
        </w:rPr>
      </w:pPr>
      <w:r>
        <w:rPr>
          <w:rFonts w:hint="eastAsia" w:ascii="宋体" w:hAnsi="宋体" w:eastAsia="宋体" w:cs="宋体"/>
          <w:color w:val="auto"/>
          <w:kern w:val="0"/>
          <w:sz w:val="24"/>
          <w:highlight w:val="none"/>
          <w:shd w:val="clear" w:color="auto" w:fill="auto"/>
        </w:rPr>
        <w:t xml:space="preserve">    7、不与招标人、招标代理机构政府采购评审专家或其它供应商恶意串通，进行质疑和投诉，维护政府采购市场秩序。 </w:t>
      </w:r>
    </w:p>
    <w:p w14:paraId="3DE7F2C4">
      <w:pPr>
        <w:widowControl/>
        <w:spacing w:line="440" w:lineRule="exact"/>
        <w:ind w:firstLine="480" w:firstLineChars="200"/>
        <w:rPr>
          <w:rFonts w:hint="eastAsia" w:ascii="宋体" w:hAnsi="宋体" w:eastAsia="宋体" w:cs="宋体"/>
          <w:color w:val="auto"/>
          <w:kern w:val="0"/>
          <w:sz w:val="24"/>
          <w:highlight w:val="none"/>
          <w:shd w:val="clear" w:color="auto" w:fill="auto"/>
          <w:lang w:eastAsia="zh-CN"/>
        </w:rPr>
      </w:pPr>
      <w:r>
        <w:rPr>
          <w:rFonts w:hint="eastAsia" w:ascii="宋体" w:hAnsi="宋体" w:eastAsia="宋体" w:cs="宋体"/>
          <w:color w:val="auto"/>
          <w:kern w:val="0"/>
          <w:sz w:val="24"/>
          <w:highlight w:val="none"/>
          <w:shd w:val="clear" w:color="auto" w:fill="auto"/>
        </w:rPr>
        <w:t xml:space="preserve">    8、尊重和接受政府采购监督管理部门的监督和政府招标代理机构招标要求，承担因违约行为给招标人造成的损失。 </w:t>
      </w:r>
    </w:p>
    <w:p w14:paraId="529E4ACC">
      <w:pPr>
        <w:widowControl/>
        <w:spacing w:line="440" w:lineRule="exact"/>
        <w:ind w:firstLine="480" w:firstLineChars="200"/>
        <w:rPr>
          <w:rFonts w:hint="eastAsia" w:ascii="宋体" w:hAnsi="宋体" w:eastAsia="宋体" w:cs="宋体"/>
          <w:color w:val="auto"/>
          <w:kern w:val="0"/>
          <w:sz w:val="24"/>
          <w:highlight w:val="none"/>
          <w:shd w:val="clear" w:color="auto" w:fill="auto"/>
          <w:lang w:eastAsia="zh-CN"/>
        </w:rPr>
      </w:pPr>
      <w:r>
        <w:rPr>
          <w:rFonts w:hint="eastAsia" w:ascii="宋体" w:hAnsi="宋体" w:eastAsia="宋体" w:cs="宋体"/>
          <w:color w:val="auto"/>
          <w:kern w:val="0"/>
          <w:sz w:val="24"/>
          <w:highlight w:val="none"/>
          <w:shd w:val="clear" w:color="auto" w:fill="auto"/>
        </w:rPr>
        <w:t xml:space="preserve">　  9、不发生其他有悖于政府采购公开、公平、公正和诚信原则的行为。 </w:t>
      </w:r>
    </w:p>
    <w:p w14:paraId="7A6FF4E3">
      <w:pPr>
        <w:widowControl/>
        <w:spacing w:line="440" w:lineRule="exact"/>
        <w:ind w:firstLine="480" w:firstLineChars="200"/>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   </w:t>
      </w:r>
    </w:p>
    <w:p w14:paraId="4A8432C1">
      <w:pPr>
        <w:widowControl/>
        <w:spacing w:line="440" w:lineRule="exact"/>
        <w:ind w:firstLine="840" w:firstLineChars="350"/>
        <w:rPr>
          <w:rFonts w:hint="eastAsia" w:ascii="宋体" w:hAnsi="宋体" w:eastAsia="宋体" w:cs="宋体"/>
          <w:color w:val="auto"/>
          <w:kern w:val="0"/>
          <w:sz w:val="24"/>
          <w:highlight w:val="none"/>
          <w:shd w:val="clear" w:color="auto" w:fill="auto"/>
          <w:lang w:eastAsia="zh-CN"/>
        </w:rPr>
      </w:pPr>
      <w:r>
        <w:rPr>
          <w:rFonts w:hint="eastAsia" w:ascii="宋体" w:hAnsi="宋体" w:eastAsia="宋体" w:cs="宋体"/>
          <w:color w:val="auto"/>
          <w:kern w:val="0"/>
          <w:sz w:val="24"/>
          <w:highlight w:val="none"/>
          <w:shd w:val="clear" w:color="auto" w:fill="auto"/>
        </w:rPr>
        <w:t>承诺单位（盖章） ：</w:t>
      </w:r>
      <w:r>
        <w:rPr>
          <w:rFonts w:hint="eastAsia" w:ascii="宋体" w:hAnsi="宋体" w:eastAsia="宋体" w:cs="宋体"/>
          <w:color w:val="auto"/>
          <w:kern w:val="0"/>
          <w:sz w:val="24"/>
          <w:highlight w:val="none"/>
          <w:u w:val="single"/>
          <w:shd w:val="clear" w:color="auto" w:fill="auto"/>
        </w:rPr>
        <w:t xml:space="preserve">　　                 </w:t>
      </w:r>
    </w:p>
    <w:p w14:paraId="499DF981">
      <w:pPr>
        <w:widowControl/>
        <w:spacing w:line="440" w:lineRule="exact"/>
        <w:ind w:firstLine="720" w:firstLineChars="300"/>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sz w:val="24"/>
          <w:highlight w:val="none"/>
          <w:shd w:val="clear" w:color="auto" w:fill="auto"/>
        </w:rPr>
        <w:t>法定代表人或被授权人（签字或盖章）：</w:t>
      </w:r>
      <w:r>
        <w:rPr>
          <w:rFonts w:hint="eastAsia" w:ascii="宋体" w:hAnsi="宋体" w:eastAsia="宋体" w:cs="宋体"/>
          <w:color w:val="auto"/>
          <w:kern w:val="0"/>
          <w:sz w:val="24"/>
          <w:highlight w:val="none"/>
          <w:u w:val="single"/>
          <w:shd w:val="clear" w:color="auto" w:fill="auto"/>
        </w:rPr>
        <w:t>　　　　　</w:t>
      </w:r>
    </w:p>
    <w:p w14:paraId="62B68EBC">
      <w:pPr>
        <w:widowControl/>
        <w:spacing w:line="520" w:lineRule="exact"/>
        <w:ind w:firstLine="480" w:firstLineChars="200"/>
        <w:rPr>
          <w:rFonts w:hint="eastAsia" w:ascii="宋体" w:hAnsi="宋体" w:eastAsia="宋体" w:cs="宋体"/>
          <w:color w:val="auto"/>
          <w:kern w:val="0"/>
          <w:sz w:val="24"/>
          <w:highlight w:val="none"/>
          <w:u w:val="single"/>
          <w:shd w:val="clear" w:color="auto" w:fill="auto"/>
        </w:rPr>
      </w:pPr>
      <w:r>
        <w:rPr>
          <w:rFonts w:hint="eastAsia" w:ascii="宋体" w:hAnsi="宋体" w:eastAsia="宋体" w:cs="宋体"/>
          <w:color w:val="auto"/>
          <w:kern w:val="0"/>
          <w:sz w:val="24"/>
          <w:highlight w:val="none"/>
          <w:shd w:val="clear" w:color="auto" w:fill="auto"/>
        </w:rPr>
        <w:t xml:space="preserve">   地　　址：</w:t>
      </w:r>
      <w:r>
        <w:rPr>
          <w:rFonts w:hint="eastAsia" w:ascii="宋体" w:hAnsi="宋体" w:eastAsia="宋体" w:cs="宋体"/>
          <w:color w:val="auto"/>
          <w:kern w:val="0"/>
          <w:sz w:val="24"/>
          <w:highlight w:val="none"/>
          <w:u w:val="single"/>
          <w:shd w:val="clear" w:color="auto" w:fill="auto"/>
        </w:rPr>
        <w:t xml:space="preserve"> 　　　　　     　　　</w:t>
      </w:r>
    </w:p>
    <w:p w14:paraId="35716DE2">
      <w:pPr>
        <w:widowControl/>
        <w:spacing w:line="520" w:lineRule="exact"/>
        <w:ind w:firstLine="480" w:firstLineChars="200"/>
        <w:rPr>
          <w:rFonts w:hint="eastAsia" w:ascii="宋体" w:hAnsi="宋体" w:eastAsia="宋体" w:cs="宋体"/>
          <w:color w:val="auto"/>
          <w:kern w:val="0"/>
          <w:sz w:val="24"/>
          <w:highlight w:val="none"/>
          <w:u w:val="single"/>
          <w:shd w:val="clear" w:color="auto" w:fill="auto"/>
        </w:rPr>
      </w:pPr>
      <w:r>
        <w:rPr>
          <w:rFonts w:hint="eastAsia" w:ascii="宋体" w:hAnsi="宋体" w:eastAsia="宋体" w:cs="宋体"/>
          <w:color w:val="auto"/>
          <w:kern w:val="0"/>
          <w:sz w:val="24"/>
          <w:highlight w:val="none"/>
          <w:shd w:val="clear" w:color="auto" w:fill="auto"/>
        </w:rPr>
        <w:t xml:space="preserve">   邮    编：</w:t>
      </w:r>
      <w:r>
        <w:rPr>
          <w:rFonts w:hint="eastAsia" w:ascii="宋体" w:hAnsi="宋体" w:eastAsia="宋体" w:cs="宋体"/>
          <w:color w:val="auto"/>
          <w:kern w:val="0"/>
          <w:sz w:val="24"/>
          <w:highlight w:val="none"/>
          <w:u w:val="single"/>
          <w:shd w:val="clear" w:color="auto" w:fill="auto"/>
        </w:rPr>
        <w:t xml:space="preserve"> 　　　　　     　　　</w:t>
      </w:r>
    </w:p>
    <w:p w14:paraId="59ED5C1B">
      <w:pPr>
        <w:widowControl/>
        <w:spacing w:line="520" w:lineRule="exact"/>
        <w:rPr>
          <w:rFonts w:hint="eastAsia" w:ascii="宋体" w:hAnsi="宋体" w:eastAsia="宋体" w:cs="宋体"/>
          <w:color w:val="auto"/>
          <w:kern w:val="0"/>
          <w:sz w:val="24"/>
          <w:highlight w:val="none"/>
          <w:u w:val="single"/>
          <w:shd w:val="clear" w:color="auto" w:fill="auto"/>
        </w:rPr>
      </w:pPr>
      <w:r>
        <w:rPr>
          <w:rFonts w:hint="eastAsia" w:ascii="宋体" w:hAnsi="宋体" w:eastAsia="宋体" w:cs="宋体"/>
          <w:color w:val="auto"/>
          <w:kern w:val="0"/>
          <w:sz w:val="24"/>
          <w:highlight w:val="none"/>
          <w:shd w:val="clear" w:color="auto" w:fill="auto"/>
        </w:rPr>
        <w:t>     电　　话：</w:t>
      </w:r>
      <w:r>
        <w:rPr>
          <w:rFonts w:hint="eastAsia" w:ascii="宋体" w:hAnsi="宋体" w:eastAsia="宋体" w:cs="宋体"/>
          <w:color w:val="auto"/>
          <w:kern w:val="0"/>
          <w:sz w:val="24"/>
          <w:highlight w:val="none"/>
          <w:u w:val="single"/>
          <w:shd w:val="clear" w:color="auto" w:fill="auto"/>
        </w:rPr>
        <w:t xml:space="preserve">　　　                </w:t>
      </w:r>
    </w:p>
    <w:p w14:paraId="35B3D510">
      <w:pPr>
        <w:widowControl/>
        <w:spacing w:line="520" w:lineRule="exact"/>
        <w:ind w:firstLine="960" w:firstLineChars="400"/>
        <w:rPr>
          <w:rFonts w:hint="eastAsia" w:ascii="宋体" w:hAnsi="宋体" w:eastAsia="宋体" w:cs="宋体"/>
          <w:color w:val="auto"/>
          <w:highlight w:val="none"/>
          <w:shd w:val="clear" w:color="auto" w:fill="auto"/>
        </w:rPr>
      </w:pPr>
      <w:r>
        <w:rPr>
          <w:rFonts w:hint="eastAsia" w:ascii="宋体" w:hAnsi="宋体" w:eastAsia="宋体" w:cs="宋体"/>
          <w:color w:val="auto"/>
          <w:kern w:val="0"/>
          <w:sz w:val="24"/>
          <w:highlight w:val="none"/>
          <w:shd w:val="clear" w:color="auto" w:fill="auto"/>
          <w:lang w:eastAsia="zh-CN"/>
        </w:rPr>
        <w:t>日</w:t>
      </w:r>
      <w:r>
        <w:rPr>
          <w:rFonts w:hint="eastAsia" w:ascii="宋体" w:hAnsi="宋体" w:eastAsia="宋体" w:cs="宋体"/>
          <w:color w:val="auto"/>
          <w:kern w:val="0"/>
          <w:sz w:val="24"/>
          <w:highlight w:val="none"/>
          <w:shd w:val="clear" w:color="auto" w:fill="auto"/>
          <w:lang w:val="en-US" w:eastAsia="zh-CN"/>
        </w:rPr>
        <w:t xml:space="preserve">   </w:t>
      </w:r>
      <w:r>
        <w:rPr>
          <w:rFonts w:hint="eastAsia" w:ascii="宋体" w:hAnsi="宋体" w:eastAsia="宋体" w:cs="宋体"/>
          <w:color w:val="auto"/>
          <w:kern w:val="0"/>
          <w:sz w:val="24"/>
          <w:highlight w:val="none"/>
          <w:shd w:val="clear" w:color="auto" w:fill="auto"/>
          <w:lang w:eastAsia="zh-CN"/>
        </w:rPr>
        <w:t>期：</w:t>
      </w:r>
      <w:r>
        <w:rPr>
          <w:rFonts w:hint="eastAsia" w:ascii="宋体" w:hAnsi="宋体" w:eastAsia="宋体" w:cs="宋体"/>
          <w:color w:val="auto"/>
          <w:kern w:val="0"/>
          <w:sz w:val="24"/>
          <w:highlight w:val="none"/>
          <w:shd w:val="clear" w:color="auto" w:fill="auto"/>
        </w:rPr>
        <w:t>年　　月　　日</w:t>
      </w:r>
    </w:p>
    <w:p w14:paraId="7FFE5EFB">
      <w:pPr>
        <w:spacing w:line="480" w:lineRule="exact"/>
        <w:ind w:left="210" w:leftChars="100" w:firstLine="1807" w:firstLineChars="500"/>
        <w:rPr>
          <w:rFonts w:hint="eastAsia" w:ascii="宋体" w:hAnsi="宋体" w:eastAsia="宋体" w:cs="宋体"/>
          <w:b/>
          <w:color w:val="auto"/>
          <w:sz w:val="36"/>
          <w:szCs w:val="36"/>
          <w:highlight w:val="none"/>
          <w:shd w:val="clear" w:color="auto" w:fill="auto"/>
        </w:rPr>
      </w:pPr>
    </w:p>
    <w:p w14:paraId="67902EFF">
      <w:pPr>
        <w:spacing w:line="480" w:lineRule="exact"/>
        <w:ind w:left="210" w:leftChars="100" w:firstLine="1807" w:firstLineChars="500"/>
        <w:rPr>
          <w:rFonts w:hint="eastAsia" w:ascii="宋体" w:hAnsi="宋体" w:eastAsia="宋体" w:cs="宋体"/>
          <w:b/>
          <w:color w:val="auto"/>
          <w:sz w:val="36"/>
          <w:szCs w:val="36"/>
          <w:highlight w:val="none"/>
          <w:shd w:val="clear" w:color="auto" w:fill="auto"/>
        </w:rPr>
      </w:pPr>
    </w:p>
    <w:p w14:paraId="5810EA3D">
      <w:pPr>
        <w:autoSpaceDE w:val="0"/>
        <w:autoSpaceDN w:val="0"/>
        <w:adjustRightInd w:val="0"/>
        <w:spacing w:line="360" w:lineRule="auto"/>
        <w:rPr>
          <w:rFonts w:hint="eastAsia" w:ascii="宋体" w:hAnsi="宋体" w:eastAsia="宋体" w:cs="宋体"/>
          <w:b/>
          <w:bCs/>
          <w:color w:val="auto"/>
          <w:sz w:val="32"/>
          <w:szCs w:val="32"/>
          <w:highlight w:val="none"/>
          <w:shd w:val="clear" w:color="auto" w:fill="auto"/>
          <w:lang w:val="zh-CN"/>
        </w:rPr>
      </w:pPr>
    </w:p>
    <w:p w14:paraId="7E63ACF5">
      <w:pPr>
        <w:autoSpaceDE w:val="0"/>
        <w:autoSpaceDN w:val="0"/>
        <w:adjustRightInd w:val="0"/>
        <w:spacing w:line="360" w:lineRule="auto"/>
        <w:jc w:val="center"/>
        <w:outlineLvl w:val="0"/>
        <w:rPr>
          <w:rFonts w:hint="eastAsia" w:ascii="宋体" w:hAnsi="宋体" w:eastAsia="宋体" w:cs="宋体"/>
          <w:b/>
          <w:bCs/>
          <w:color w:val="auto"/>
          <w:sz w:val="32"/>
          <w:szCs w:val="32"/>
          <w:highlight w:val="none"/>
          <w:shd w:val="clear" w:color="auto" w:fill="auto"/>
          <w:lang w:val="zh-CN"/>
        </w:rPr>
      </w:pPr>
      <w:bookmarkStart w:id="237" w:name="_Toc8138"/>
      <w:bookmarkStart w:id="238" w:name="_Toc31047"/>
      <w:bookmarkStart w:id="239" w:name="_Toc22313_WPSOffice_Level1"/>
      <w:bookmarkStart w:id="240" w:name="_Toc10701"/>
      <w:bookmarkStart w:id="241" w:name="_Toc30888"/>
      <w:bookmarkStart w:id="242" w:name="_Toc15412_WPSOffice_Level1"/>
      <w:bookmarkStart w:id="243" w:name="_Toc6979"/>
      <w:bookmarkStart w:id="244" w:name="_Toc26724_WPSOffice_Level1"/>
      <w:bookmarkStart w:id="245" w:name="_Toc11046"/>
      <w:r>
        <w:rPr>
          <w:rFonts w:hint="eastAsia" w:ascii="宋体" w:hAnsi="宋体" w:eastAsia="宋体" w:cs="宋体"/>
          <w:b/>
          <w:bCs/>
          <w:color w:val="auto"/>
          <w:sz w:val="32"/>
          <w:szCs w:val="32"/>
          <w:highlight w:val="none"/>
          <w:shd w:val="clear" w:color="auto" w:fill="auto"/>
          <w:lang w:val="zh-CN"/>
        </w:rPr>
        <w:t>供应商承诺书</w:t>
      </w:r>
      <w:bookmarkEnd w:id="237"/>
      <w:bookmarkEnd w:id="238"/>
      <w:bookmarkEnd w:id="239"/>
      <w:bookmarkEnd w:id="240"/>
      <w:bookmarkEnd w:id="241"/>
      <w:bookmarkEnd w:id="242"/>
      <w:bookmarkEnd w:id="243"/>
      <w:bookmarkEnd w:id="244"/>
      <w:bookmarkEnd w:id="245"/>
    </w:p>
    <w:p w14:paraId="3554BD36">
      <w:pPr>
        <w:autoSpaceDE w:val="0"/>
        <w:autoSpaceDN w:val="0"/>
        <w:adjustRightInd w:val="0"/>
        <w:spacing w:line="360" w:lineRule="auto"/>
        <w:rPr>
          <w:rFonts w:hint="eastAsia" w:ascii="宋体" w:hAnsi="宋体" w:eastAsia="宋体" w:cs="宋体"/>
          <w:color w:val="auto"/>
          <w:sz w:val="24"/>
          <w:szCs w:val="24"/>
          <w:highlight w:val="none"/>
          <w:shd w:val="clear" w:color="auto" w:fill="auto"/>
        </w:rPr>
      </w:pPr>
    </w:p>
    <w:p w14:paraId="3719B609">
      <w:pPr>
        <w:spacing w:line="360" w:lineRule="auto"/>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kern w:val="0"/>
          <w:sz w:val="24"/>
          <w:highlight w:val="none"/>
          <w:shd w:val="clear" w:color="auto" w:fill="auto"/>
          <w:lang w:eastAsia="zh-CN"/>
        </w:rPr>
        <w:t>（</w:t>
      </w:r>
      <w:r>
        <w:rPr>
          <w:rFonts w:hint="eastAsia" w:ascii="宋体" w:hAnsi="宋体" w:eastAsia="宋体" w:cs="宋体"/>
          <w:b w:val="0"/>
          <w:bCs/>
          <w:color w:val="auto"/>
          <w:sz w:val="24"/>
          <w:szCs w:val="24"/>
          <w:highlight w:val="none"/>
          <w:shd w:val="clear" w:color="auto" w:fill="auto"/>
          <w:lang w:val="en-US" w:eastAsia="zh-CN"/>
        </w:rPr>
        <w:t>采购人）</w:t>
      </w:r>
      <w:r>
        <w:rPr>
          <w:rFonts w:hint="eastAsia" w:ascii="宋体" w:hAnsi="宋体" w:eastAsia="宋体" w:cs="宋体"/>
          <w:color w:val="auto"/>
          <w:sz w:val="24"/>
          <w:szCs w:val="24"/>
          <w:highlight w:val="none"/>
          <w:shd w:val="clear" w:color="auto" w:fill="auto"/>
        </w:rPr>
        <w:t>：</w:t>
      </w:r>
    </w:p>
    <w:p w14:paraId="06E04B55">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做为参加贵单位组织的</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bCs/>
          <w:color w:val="auto"/>
          <w:kern w:val="36"/>
          <w:sz w:val="24"/>
          <w:szCs w:val="24"/>
          <w:highlight w:val="none"/>
          <w:u w:val="single"/>
          <w:shd w:val="clear" w:color="auto" w:fill="auto"/>
        </w:rPr>
        <w:t>项目名称</w:t>
      </w:r>
      <w:r>
        <w:rPr>
          <w:rFonts w:hint="eastAsia" w:ascii="宋体" w:hAnsi="宋体" w:eastAsia="宋体" w:cs="宋体"/>
          <w:color w:val="auto"/>
          <w:sz w:val="24"/>
          <w:szCs w:val="24"/>
          <w:highlight w:val="none"/>
          <w:u w:val="single"/>
          <w:shd w:val="clear" w:color="auto" w:fill="auto"/>
        </w:rPr>
        <w:t>）</w:t>
      </w:r>
      <w:r>
        <w:rPr>
          <w:rFonts w:hint="eastAsia" w:ascii="宋体" w:hAnsi="宋体" w:eastAsia="宋体" w:cs="宋体"/>
          <w:color w:val="auto"/>
          <w:sz w:val="24"/>
          <w:szCs w:val="24"/>
          <w:highlight w:val="none"/>
          <w:shd w:val="clear" w:color="auto" w:fill="auto"/>
        </w:rPr>
        <w:t>的供应商，本公司郑重承诺：</w:t>
      </w:r>
    </w:p>
    <w:p w14:paraId="46EC2D1D">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1、在参加本项目</w:t>
      </w:r>
      <w:r>
        <w:rPr>
          <w:rFonts w:hint="eastAsia" w:ascii="宋体" w:hAnsi="宋体" w:eastAsia="宋体" w:cs="宋体"/>
          <w:color w:val="auto"/>
          <w:sz w:val="24"/>
          <w:szCs w:val="24"/>
          <w:highlight w:val="none"/>
          <w:shd w:val="clear" w:color="auto" w:fill="auto"/>
          <w:lang w:val="en-US" w:eastAsia="zh-CN"/>
        </w:rPr>
        <w:t>投标</w:t>
      </w:r>
      <w:r>
        <w:rPr>
          <w:rFonts w:hint="eastAsia" w:ascii="宋体" w:hAnsi="宋体" w:eastAsia="宋体" w:cs="宋体"/>
          <w:color w:val="auto"/>
          <w:sz w:val="24"/>
          <w:szCs w:val="24"/>
          <w:highlight w:val="none"/>
          <w:shd w:val="clear" w:color="auto" w:fill="auto"/>
        </w:rPr>
        <w:t>之前不存在被依法禁止经营行为、财产被接管或冻结的情况，如有隐瞒实情，愿承担一切责任及后果。</w:t>
      </w:r>
    </w:p>
    <w:p w14:paraId="15DD05F9">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2、近三年受到有关行政主管部门的行政处理、不良行为记录为</w:t>
      </w:r>
      <w:r>
        <w:rPr>
          <w:rFonts w:hint="eastAsia" w:ascii="宋体" w:hAnsi="宋体" w:eastAsia="宋体" w:cs="宋体"/>
          <w:color w:val="auto"/>
          <w:sz w:val="24"/>
          <w:szCs w:val="24"/>
          <w:highlight w:val="none"/>
          <w:u w:val="single"/>
          <w:shd w:val="clear" w:color="auto" w:fill="auto"/>
          <w:lang w:val="en-US" w:eastAsia="zh-CN"/>
        </w:rPr>
        <w:t xml:space="preserve">    </w:t>
      </w:r>
      <w:r>
        <w:rPr>
          <w:rFonts w:hint="eastAsia" w:ascii="宋体" w:hAnsi="宋体" w:eastAsia="宋体" w:cs="宋体"/>
          <w:color w:val="auto"/>
          <w:sz w:val="24"/>
          <w:szCs w:val="24"/>
          <w:highlight w:val="none"/>
          <w:shd w:val="clear" w:color="auto" w:fill="auto"/>
        </w:rPr>
        <w:t>次（没有填零），如有隐瞒实情，愿承担一切责任及后果。</w:t>
      </w:r>
    </w:p>
    <w:p w14:paraId="3961427F">
      <w:pPr>
        <w:autoSpaceDE w:val="0"/>
        <w:autoSpaceDN w:val="0"/>
        <w:adjustRightInd w:val="0"/>
        <w:spacing w:line="360" w:lineRule="auto"/>
        <w:ind w:firstLine="480" w:firstLineChars="200"/>
        <w:rPr>
          <w:rFonts w:hint="eastAsia" w:ascii="宋体" w:hAnsi="宋体" w:eastAsia="宋体" w:cs="宋体"/>
          <w:b/>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3、参加本次</w:t>
      </w:r>
      <w:r>
        <w:rPr>
          <w:rFonts w:hint="eastAsia" w:ascii="宋体" w:hAnsi="宋体" w:eastAsia="宋体" w:cs="宋体"/>
          <w:color w:val="auto"/>
          <w:sz w:val="24"/>
          <w:szCs w:val="24"/>
          <w:highlight w:val="none"/>
          <w:shd w:val="clear" w:color="auto" w:fill="auto"/>
          <w:lang w:val="en-US" w:eastAsia="zh-CN"/>
        </w:rPr>
        <w:t>投标</w:t>
      </w:r>
      <w:r>
        <w:rPr>
          <w:rFonts w:hint="eastAsia" w:ascii="宋体" w:hAnsi="宋体" w:eastAsia="宋体" w:cs="宋体"/>
          <w:color w:val="auto"/>
          <w:sz w:val="24"/>
          <w:szCs w:val="24"/>
          <w:highlight w:val="none"/>
          <w:shd w:val="clear" w:color="auto" w:fill="auto"/>
        </w:rPr>
        <w:t>提交的所有资质证明文件和资信证明文件及业绩证明文件是真实的、有效的，如有隐瞒实情，愿承担一切责任及后果。</w:t>
      </w:r>
    </w:p>
    <w:p w14:paraId="39F9AE51">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4、我单位不存在与单位负责人为同一人或者存在直接控股、管理关系的其他供应商参与同一合同项下的政府采购活动的行为。</w:t>
      </w:r>
    </w:p>
    <w:p w14:paraId="51F3648C">
      <w:pPr>
        <w:autoSpaceDE w:val="0"/>
        <w:autoSpaceDN w:val="0"/>
        <w:adjustRightInd w:val="0"/>
        <w:spacing w:line="360" w:lineRule="auto"/>
        <w:ind w:firstLine="480" w:firstLineChars="200"/>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5、我单位不属于为本项目提供整体设计、规范编制或者项目管理、监理、检测等服务的供应商。</w:t>
      </w:r>
    </w:p>
    <w:p w14:paraId="650436BB">
      <w:pPr>
        <w:autoSpaceDE w:val="0"/>
        <w:autoSpaceDN w:val="0"/>
        <w:adjustRightInd w:val="0"/>
        <w:spacing w:line="360" w:lineRule="auto"/>
        <w:jc w:val="center"/>
        <w:rPr>
          <w:rFonts w:hint="eastAsia" w:ascii="宋体" w:hAnsi="宋体" w:eastAsia="宋体" w:cs="宋体"/>
          <w:b/>
          <w:color w:val="auto"/>
          <w:sz w:val="24"/>
          <w:szCs w:val="24"/>
          <w:highlight w:val="none"/>
          <w:shd w:val="clear" w:color="auto" w:fill="auto"/>
        </w:rPr>
      </w:pPr>
    </w:p>
    <w:p w14:paraId="5A8C4D77">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lang w:eastAsia="zh-CN"/>
        </w:rPr>
        <w:t>供应商</w:t>
      </w:r>
      <w:r>
        <w:rPr>
          <w:rFonts w:hint="eastAsia" w:ascii="宋体" w:hAnsi="宋体" w:eastAsia="宋体" w:cs="宋体"/>
          <w:color w:val="auto"/>
          <w:sz w:val="24"/>
          <w:highlight w:val="none"/>
          <w:shd w:val="clear" w:color="auto" w:fill="auto"/>
        </w:rPr>
        <w:t>全称：</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（公章）</w:t>
      </w:r>
    </w:p>
    <w:p w14:paraId="28342CCE">
      <w:pPr>
        <w:kinsoku w:val="0"/>
        <w:spacing w:line="500" w:lineRule="exact"/>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法定代表人或被授权人（签字或盖章）：</w:t>
      </w:r>
      <w:r>
        <w:rPr>
          <w:rFonts w:hint="eastAsia" w:ascii="宋体" w:hAnsi="宋体" w:eastAsia="宋体" w:cs="宋体"/>
          <w:color w:val="auto"/>
          <w:sz w:val="24"/>
          <w:highlight w:val="none"/>
          <w:u w:val="single"/>
          <w:shd w:val="clear" w:color="auto" w:fill="auto"/>
        </w:rPr>
        <w:t xml:space="preserve">                   </w:t>
      </w:r>
    </w:p>
    <w:p w14:paraId="19ABC02B">
      <w:pPr>
        <w:autoSpaceDE w:val="0"/>
        <w:autoSpaceDN w:val="0"/>
        <w:adjustRightInd w:val="0"/>
        <w:snapToGrid w:val="0"/>
        <w:spacing w:line="360" w:lineRule="auto"/>
        <w:rPr>
          <w:rFonts w:hint="eastAsia" w:ascii="宋体" w:hAnsi="宋体" w:eastAsia="宋体" w:cs="宋体"/>
          <w:color w:val="auto"/>
          <w:sz w:val="24"/>
          <w:highlight w:val="none"/>
          <w:shd w:val="clear" w:color="auto" w:fill="auto"/>
        </w:rPr>
      </w:pPr>
    </w:p>
    <w:p w14:paraId="087D568B">
      <w:pPr>
        <w:autoSpaceDE w:val="0"/>
        <w:autoSpaceDN w:val="0"/>
        <w:adjustRightInd w:val="0"/>
        <w:snapToGrid w:val="0"/>
        <w:spacing w:line="360" w:lineRule="auto"/>
        <w:rPr>
          <w:rFonts w:hint="eastAsia" w:ascii="宋体" w:hAnsi="宋体" w:eastAsia="宋体" w:cs="宋体"/>
          <w:color w:val="auto"/>
          <w:sz w:val="24"/>
          <w:szCs w:val="24"/>
          <w:highlight w:val="none"/>
          <w:shd w:val="clear" w:color="auto" w:fill="auto"/>
          <w:lang w:val="zh-CN"/>
        </w:rPr>
      </w:pPr>
      <w:r>
        <w:rPr>
          <w:rFonts w:hint="eastAsia" w:ascii="宋体" w:hAnsi="宋体" w:eastAsia="宋体" w:cs="宋体"/>
          <w:color w:val="auto"/>
          <w:sz w:val="24"/>
          <w:highlight w:val="none"/>
          <w:shd w:val="clear" w:color="auto" w:fill="auto"/>
        </w:rPr>
        <w:t>日   期：</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年   月   日</w:t>
      </w:r>
    </w:p>
    <w:p w14:paraId="5943216D">
      <w:pPr>
        <w:autoSpaceDE w:val="0"/>
        <w:autoSpaceDN w:val="0"/>
        <w:adjustRightInd w:val="0"/>
        <w:jc w:val="center"/>
        <w:rPr>
          <w:rFonts w:hint="eastAsia" w:ascii="宋体" w:hAnsi="宋体" w:eastAsia="宋体" w:cs="宋体"/>
          <w:b/>
          <w:bCs/>
          <w:color w:val="auto"/>
          <w:sz w:val="28"/>
          <w:szCs w:val="28"/>
          <w:highlight w:val="none"/>
          <w:shd w:val="clear" w:color="auto" w:fill="auto"/>
          <w:lang w:val="zh-CN"/>
        </w:rPr>
      </w:pPr>
    </w:p>
    <w:p w14:paraId="0357C7C8">
      <w:pPr>
        <w:rPr>
          <w:rFonts w:hint="eastAsia" w:ascii="宋体" w:hAnsi="宋体" w:eastAsia="宋体" w:cs="宋体"/>
          <w:color w:val="auto"/>
          <w:highlight w:val="none"/>
          <w:shd w:val="clear" w:color="auto" w:fill="auto"/>
          <w:lang w:val="zh-CN"/>
        </w:rPr>
      </w:pPr>
      <w:r>
        <w:rPr>
          <w:rFonts w:hint="eastAsia" w:ascii="宋体" w:hAnsi="宋体" w:eastAsia="宋体" w:cs="宋体"/>
          <w:color w:val="auto"/>
          <w:sz w:val="28"/>
          <w:szCs w:val="28"/>
          <w:highlight w:val="none"/>
          <w:shd w:val="clear" w:color="auto" w:fill="auto"/>
          <w:lang w:val="zh-CN"/>
        </w:rPr>
        <w:br w:type="page"/>
      </w:r>
    </w:p>
    <w:p w14:paraId="596C901F">
      <w:pPr>
        <w:autoSpaceDE w:val="0"/>
        <w:autoSpaceDN w:val="0"/>
        <w:adjustRightInd w:val="0"/>
        <w:spacing w:line="360" w:lineRule="auto"/>
        <w:jc w:val="center"/>
        <w:outlineLvl w:val="0"/>
        <w:rPr>
          <w:rFonts w:hint="eastAsia" w:ascii="宋体" w:hAnsi="宋体" w:eastAsia="宋体" w:cs="宋体"/>
          <w:color w:val="auto"/>
          <w:sz w:val="32"/>
          <w:szCs w:val="32"/>
          <w:highlight w:val="none"/>
          <w:shd w:val="clear" w:color="auto" w:fill="auto"/>
        </w:rPr>
      </w:pPr>
      <w:bookmarkStart w:id="246" w:name="_Toc8611"/>
      <w:bookmarkStart w:id="247" w:name="_Toc23605"/>
      <w:bookmarkStart w:id="248" w:name="_Toc1540"/>
      <w:bookmarkStart w:id="249" w:name="_Toc22281"/>
      <w:bookmarkStart w:id="250" w:name="_Toc19473_WPSOffice_Level1"/>
      <w:bookmarkStart w:id="251" w:name="_Toc9095"/>
      <w:bookmarkStart w:id="252" w:name="_Toc963"/>
      <w:bookmarkStart w:id="253" w:name="_Toc21616_WPSOffice_Level1"/>
      <w:bookmarkStart w:id="254" w:name="_Toc22991_WPSOffice_Level1"/>
      <w:r>
        <w:rPr>
          <w:rFonts w:hint="eastAsia" w:ascii="宋体" w:hAnsi="宋体" w:eastAsia="宋体" w:cs="宋体"/>
          <w:b/>
          <w:bCs/>
          <w:color w:val="auto"/>
          <w:sz w:val="32"/>
          <w:szCs w:val="32"/>
          <w:highlight w:val="none"/>
          <w:shd w:val="clear" w:color="auto" w:fill="auto"/>
          <w:lang w:val="zh-CN"/>
        </w:rPr>
        <w:t>供应商企业关系关联承诺书</w:t>
      </w:r>
      <w:bookmarkEnd w:id="246"/>
      <w:bookmarkEnd w:id="247"/>
      <w:bookmarkEnd w:id="248"/>
      <w:bookmarkEnd w:id="249"/>
      <w:bookmarkEnd w:id="250"/>
      <w:bookmarkEnd w:id="251"/>
      <w:bookmarkEnd w:id="252"/>
      <w:bookmarkEnd w:id="253"/>
      <w:bookmarkEnd w:id="254"/>
    </w:p>
    <w:p w14:paraId="37EAAED7">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、供应商在本项目</w:t>
      </w:r>
      <w:r>
        <w:rPr>
          <w:rFonts w:hint="eastAsia" w:ascii="宋体" w:hAnsi="宋体" w:eastAsia="宋体" w:cs="宋体"/>
          <w:color w:val="auto"/>
          <w:sz w:val="24"/>
          <w:szCs w:val="24"/>
          <w:highlight w:val="none"/>
          <w:shd w:val="clear" w:color="auto" w:fill="auto"/>
          <w:lang w:eastAsia="zh-CN"/>
        </w:rPr>
        <w:t>投标</w:t>
      </w:r>
      <w:r>
        <w:rPr>
          <w:rFonts w:hint="eastAsia" w:ascii="宋体" w:hAnsi="宋体" w:eastAsia="宋体" w:cs="宋体"/>
          <w:color w:val="auto"/>
          <w:sz w:val="24"/>
          <w:szCs w:val="24"/>
          <w:highlight w:val="none"/>
          <w:shd w:val="clear" w:color="auto" w:fill="auto"/>
        </w:rPr>
        <w:t>中，不存在与其它供应商负责人为同一人，有控股、管理等关联关系承诺：</w:t>
      </w:r>
    </w:p>
    <w:p w14:paraId="6128B5E8">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.1管理关系说明：</w:t>
      </w:r>
    </w:p>
    <w:p w14:paraId="1B596148">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我单位管理的具有独立法人的下属单位有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515D626B">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我单位的上级管理单位有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7FE26B82">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.2股权关系说明：</w:t>
      </w:r>
    </w:p>
    <w:p w14:paraId="7365AD8A">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我单位控股的单位有</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w:t>
      </w:r>
    </w:p>
    <w:p w14:paraId="65F3552B">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我单位被</w:t>
      </w:r>
      <w:r>
        <w:rPr>
          <w:rFonts w:hint="eastAsia" w:ascii="宋体" w:hAnsi="宋体" w:eastAsia="宋体" w:cs="宋体"/>
          <w:color w:val="auto"/>
          <w:sz w:val="24"/>
          <w:szCs w:val="24"/>
          <w:highlight w:val="none"/>
          <w:u w:val="single"/>
          <w:shd w:val="clear" w:color="auto" w:fill="auto"/>
        </w:rPr>
        <w:t xml:space="preserve">              </w:t>
      </w:r>
      <w:r>
        <w:rPr>
          <w:rFonts w:hint="eastAsia" w:ascii="宋体" w:hAnsi="宋体" w:eastAsia="宋体" w:cs="宋体"/>
          <w:color w:val="auto"/>
          <w:sz w:val="24"/>
          <w:szCs w:val="24"/>
          <w:highlight w:val="none"/>
          <w:shd w:val="clear" w:color="auto" w:fill="auto"/>
        </w:rPr>
        <w:t>单位控股。</w:t>
      </w:r>
    </w:p>
    <w:p w14:paraId="795234F2">
      <w:pPr>
        <w:spacing w:line="500" w:lineRule="exact"/>
        <w:ind w:firstLine="480" w:firstLineChars="2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rPr>
        <w:t>.3、单位负责人：</w:t>
      </w:r>
      <w:r>
        <w:rPr>
          <w:rFonts w:hint="eastAsia" w:ascii="宋体" w:hAnsi="宋体" w:eastAsia="宋体" w:cs="宋体"/>
          <w:color w:val="auto"/>
          <w:sz w:val="24"/>
          <w:szCs w:val="24"/>
          <w:highlight w:val="none"/>
          <w:u w:val="single"/>
          <w:shd w:val="clear" w:color="auto" w:fill="auto"/>
        </w:rPr>
        <w:t xml:space="preserve">                </w:t>
      </w:r>
    </w:p>
    <w:p w14:paraId="71D9BD3A">
      <w:pPr>
        <w:spacing w:line="500" w:lineRule="exact"/>
        <w:ind w:firstLine="480" w:firstLineChars="200"/>
        <w:rPr>
          <w:rFonts w:hint="eastAsia" w:ascii="宋体" w:hAnsi="宋体" w:eastAsia="宋体" w:cs="宋体"/>
          <w:color w:val="auto"/>
          <w:sz w:val="24"/>
          <w:szCs w:val="24"/>
          <w:highlight w:val="none"/>
          <w:u w:val="single"/>
          <w:shd w:val="clear" w:color="auto" w:fill="auto"/>
        </w:rPr>
      </w:pPr>
      <w:r>
        <w:rPr>
          <w:rFonts w:hint="eastAsia" w:ascii="宋体" w:hAnsi="宋体" w:eastAsia="宋体" w:cs="宋体"/>
          <w:color w:val="auto"/>
          <w:sz w:val="24"/>
          <w:szCs w:val="24"/>
          <w:highlight w:val="none"/>
          <w:shd w:val="clear" w:color="auto" w:fill="auto"/>
          <w:lang w:val="en-US" w:eastAsia="zh-CN"/>
        </w:rPr>
        <w:t>2</w:t>
      </w:r>
      <w:r>
        <w:rPr>
          <w:rFonts w:hint="eastAsia" w:ascii="宋体" w:hAnsi="宋体" w:eastAsia="宋体" w:cs="宋体"/>
          <w:color w:val="auto"/>
          <w:sz w:val="24"/>
          <w:szCs w:val="24"/>
          <w:highlight w:val="none"/>
          <w:shd w:val="clear" w:color="auto" w:fill="auto"/>
        </w:rPr>
        <w:t>、其他与本项目有关的利害关系说明：</w:t>
      </w:r>
      <w:r>
        <w:rPr>
          <w:rFonts w:hint="eastAsia" w:ascii="宋体" w:hAnsi="宋体" w:eastAsia="宋体" w:cs="宋体"/>
          <w:color w:val="auto"/>
          <w:sz w:val="24"/>
          <w:szCs w:val="24"/>
          <w:highlight w:val="none"/>
          <w:u w:val="single"/>
          <w:shd w:val="clear" w:color="auto" w:fill="auto"/>
        </w:rPr>
        <w:t xml:space="preserve">                               </w:t>
      </w:r>
    </w:p>
    <w:p w14:paraId="470ED6FF">
      <w:pPr>
        <w:spacing w:line="500" w:lineRule="exact"/>
        <w:ind w:firstLine="480" w:firstLineChars="200"/>
        <w:rPr>
          <w:rFonts w:hint="eastAsia" w:ascii="宋体" w:hAnsi="宋体" w:eastAsia="宋体" w:cs="宋体"/>
          <w:color w:val="auto"/>
          <w:sz w:val="24"/>
          <w:szCs w:val="24"/>
          <w:highlight w:val="none"/>
          <w:shd w:val="clear" w:color="auto" w:fill="auto"/>
        </w:rPr>
      </w:pPr>
    </w:p>
    <w:p w14:paraId="712D610E">
      <w:pPr>
        <w:spacing w:line="500" w:lineRule="exact"/>
        <w:ind w:firstLine="480" w:firstLineChars="200"/>
        <w:rPr>
          <w:rFonts w:hint="eastAsia" w:ascii="宋体" w:hAnsi="宋体" w:eastAsia="宋体" w:cs="宋体"/>
          <w:color w:val="auto"/>
          <w:sz w:val="24"/>
          <w:szCs w:val="24"/>
          <w:highlight w:val="none"/>
          <w:shd w:val="clear" w:color="auto" w:fill="auto"/>
        </w:rPr>
      </w:pPr>
    </w:p>
    <w:p w14:paraId="7A40D4BA">
      <w:pPr>
        <w:spacing w:line="500" w:lineRule="exact"/>
        <w:ind w:firstLine="480" w:firstLineChars="200"/>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我单位承诺以上说明真实有效，无虚假内容或隐瞒。</w:t>
      </w:r>
    </w:p>
    <w:p w14:paraId="09FB6FDB">
      <w:pPr>
        <w:autoSpaceDE w:val="0"/>
        <w:autoSpaceDN w:val="0"/>
        <w:adjustRightInd w:val="0"/>
        <w:snapToGrid w:val="0"/>
        <w:rPr>
          <w:rFonts w:hint="eastAsia" w:ascii="宋体" w:hAnsi="宋体" w:eastAsia="宋体" w:cs="宋体"/>
          <w:color w:val="auto"/>
          <w:sz w:val="24"/>
          <w:szCs w:val="24"/>
          <w:highlight w:val="none"/>
          <w:shd w:val="clear" w:color="auto" w:fill="auto"/>
        </w:rPr>
      </w:pPr>
    </w:p>
    <w:p w14:paraId="76257F49">
      <w:pPr>
        <w:autoSpaceDE w:val="0"/>
        <w:autoSpaceDN w:val="0"/>
        <w:adjustRightInd w:val="0"/>
        <w:snapToGrid w:val="0"/>
        <w:rPr>
          <w:rFonts w:hint="eastAsia" w:ascii="宋体" w:hAnsi="宋体" w:eastAsia="宋体" w:cs="宋体"/>
          <w:color w:val="auto"/>
          <w:sz w:val="24"/>
          <w:szCs w:val="24"/>
          <w:highlight w:val="none"/>
          <w:shd w:val="clear" w:color="auto" w:fill="auto"/>
        </w:rPr>
      </w:pPr>
    </w:p>
    <w:p w14:paraId="58D579C1">
      <w:pPr>
        <w:autoSpaceDE w:val="0"/>
        <w:autoSpaceDN w:val="0"/>
        <w:adjustRightInd w:val="0"/>
        <w:snapToGrid w:val="0"/>
        <w:spacing w:line="360" w:lineRule="auto"/>
        <w:rPr>
          <w:rFonts w:hint="eastAsia" w:ascii="宋体" w:hAnsi="宋体" w:eastAsia="宋体" w:cs="宋体"/>
          <w:color w:val="auto"/>
          <w:sz w:val="24"/>
          <w:szCs w:val="24"/>
          <w:highlight w:val="none"/>
          <w:shd w:val="clear" w:color="auto" w:fill="auto"/>
        </w:rPr>
      </w:pPr>
    </w:p>
    <w:p w14:paraId="4C4AF7FC">
      <w:pPr>
        <w:autoSpaceDE w:val="0"/>
        <w:autoSpaceDN w:val="0"/>
        <w:adjustRightInd w:val="0"/>
        <w:snapToGrid w:val="0"/>
        <w:spacing w:line="360" w:lineRule="auto"/>
        <w:jc w:val="center"/>
        <w:rPr>
          <w:rFonts w:hint="eastAsia" w:ascii="宋体" w:hAnsi="宋体" w:eastAsia="宋体" w:cs="宋体"/>
          <w:b/>
          <w:color w:val="auto"/>
          <w:sz w:val="24"/>
          <w:szCs w:val="24"/>
          <w:highlight w:val="none"/>
          <w:shd w:val="clear" w:color="auto" w:fill="auto"/>
        </w:rPr>
      </w:pPr>
    </w:p>
    <w:p w14:paraId="0A922B9C">
      <w:pPr>
        <w:kinsoku w:val="0"/>
        <w:spacing w:line="500" w:lineRule="exact"/>
        <w:rPr>
          <w:rFonts w:hint="eastAsia" w:ascii="宋体" w:hAnsi="宋体" w:eastAsia="宋体" w:cs="宋体"/>
          <w:color w:val="auto"/>
          <w:sz w:val="24"/>
          <w:highlight w:val="none"/>
          <w:shd w:val="clear" w:color="auto" w:fill="auto"/>
        </w:rPr>
      </w:pPr>
      <w:r>
        <w:rPr>
          <w:rFonts w:hint="eastAsia" w:ascii="宋体" w:hAnsi="宋体" w:eastAsia="宋体" w:cs="宋体"/>
          <w:color w:val="auto"/>
          <w:sz w:val="24"/>
          <w:highlight w:val="none"/>
          <w:shd w:val="clear" w:color="auto" w:fill="auto"/>
          <w:lang w:eastAsia="zh-CN"/>
        </w:rPr>
        <w:t>供应商</w:t>
      </w:r>
      <w:r>
        <w:rPr>
          <w:rFonts w:hint="eastAsia" w:ascii="宋体" w:hAnsi="宋体" w:eastAsia="宋体" w:cs="宋体"/>
          <w:color w:val="auto"/>
          <w:sz w:val="24"/>
          <w:highlight w:val="none"/>
          <w:shd w:val="clear" w:color="auto" w:fill="auto"/>
        </w:rPr>
        <w:t>全称：</w:t>
      </w:r>
      <w:r>
        <w:rPr>
          <w:rFonts w:hint="eastAsia" w:ascii="宋体" w:hAnsi="宋体" w:eastAsia="宋体" w:cs="宋体"/>
          <w:color w:val="auto"/>
          <w:sz w:val="24"/>
          <w:highlight w:val="none"/>
          <w:u w:val="single"/>
          <w:shd w:val="clear" w:color="auto" w:fill="auto"/>
        </w:rPr>
        <w:t xml:space="preserve">                   </w:t>
      </w:r>
      <w:r>
        <w:rPr>
          <w:rFonts w:hint="eastAsia" w:ascii="宋体" w:hAnsi="宋体" w:eastAsia="宋体" w:cs="宋体"/>
          <w:color w:val="auto"/>
          <w:sz w:val="24"/>
          <w:highlight w:val="none"/>
          <w:shd w:val="clear" w:color="auto" w:fill="auto"/>
        </w:rPr>
        <w:t>（公章）</w:t>
      </w:r>
    </w:p>
    <w:p w14:paraId="09F8C11C">
      <w:pPr>
        <w:kinsoku w:val="0"/>
        <w:spacing w:line="500" w:lineRule="exact"/>
        <w:rPr>
          <w:rFonts w:hint="eastAsia" w:ascii="宋体" w:hAnsi="宋体" w:eastAsia="宋体" w:cs="宋体"/>
          <w:color w:val="auto"/>
          <w:sz w:val="24"/>
          <w:highlight w:val="none"/>
          <w:u w:val="single"/>
          <w:shd w:val="clear" w:color="auto" w:fill="auto"/>
        </w:rPr>
      </w:pPr>
      <w:r>
        <w:rPr>
          <w:rFonts w:hint="eastAsia" w:ascii="宋体" w:hAnsi="宋体" w:eastAsia="宋体" w:cs="宋体"/>
          <w:color w:val="auto"/>
          <w:sz w:val="24"/>
          <w:highlight w:val="none"/>
          <w:shd w:val="clear" w:color="auto" w:fill="auto"/>
        </w:rPr>
        <w:t>法定代表人或被授权人（签字或盖章）：</w:t>
      </w:r>
      <w:r>
        <w:rPr>
          <w:rFonts w:hint="eastAsia" w:ascii="宋体" w:hAnsi="宋体" w:eastAsia="宋体" w:cs="宋体"/>
          <w:color w:val="auto"/>
          <w:sz w:val="24"/>
          <w:highlight w:val="none"/>
          <w:u w:val="single"/>
          <w:shd w:val="clear" w:color="auto" w:fill="auto"/>
        </w:rPr>
        <w:t xml:space="preserve">                   </w:t>
      </w:r>
    </w:p>
    <w:p w14:paraId="59F3DF5B">
      <w:pPr>
        <w:rPr>
          <w:rFonts w:hint="eastAsia" w:ascii="宋体" w:hAnsi="宋体" w:eastAsia="宋体" w:cs="宋体"/>
          <w:color w:val="auto"/>
          <w:sz w:val="24"/>
          <w:szCs w:val="24"/>
          <w:highlight w:val="none"/>
          <w:shd w:val="clear" w:color="auto" w:fill="auto"/>
          <w:lang w:val="zh-CN" w:eastAsia="zh-CN"/>
        </w:rPr>
      </w:pPr>
      <w:r>
        <w:rPr>
          <w:rFonts w:hint="eastAsia" w:ascii="宋体" w:hAnsi="宋体" w:eastAsia="宋体" w:cs="宋体"/>
          <w:color w:val="auto"/>
          <w:sz w:val="24"/>
          <w:highlight w:val="none"/>
          <w:shd w:val="clear" w:color="auto" w:fill="auto"/>
        </w:rPr>
        <w:t>日   期：</w:t>
      </w:r>
      <w:r>
        <w:rPr>
          <w:rFonts w:hint="eastAsia" w:ascii="宋体" w:hAnsi="宋体" w:eastAsia="宋体" w:cs="宋体"/>
          <w:color w:val="auto"/>
          <w:sz w:val="24"/>
          <w:highlight w:val="none"/>
          <w:shd w:val="clear" w:color="auto" w:fill="auto"/>
          <w:lang w:val="en-US" w:eastAsia="zh-CN"/>
        </w:rPr>
        <w:t xml:space="preserve">    </w:t>
      </w:r>
      <w:r>
        <w:rPr>
          <w:rFonts w:hint="eastAsia" w:ascii="宋体" w:hAnsi="宋体" w:eastAsia="宋体" w:cs="宋体"/>
          <w:color w:val="auto"/>
          <w:sz w:val="24"/>
          <w:highlight w:val="none"/>
          <w:shd w:val="clear" w:color="auto" w:fill="auto"/>
        </w:rPr>
        <w:t>年   月   日</w:t>
      </w:r>
    </w:p>
    <w:p w14:paraId="7C2D47C8">
      <w:pPr>
        <w:pStyle w:val="7"/>
        <w:spacing w:before="5" w:line="360" w:lineRule="auto"/>
        <w:rPr>
          <w:rFonts w:hint="eastAsia" w:ascii="宋体" w:hAnsi="宋体" w:eastAsia="宋体" w:cs="宋体"/>
          <w:b/>
          <w:bCs/>
          <w:color w:val="auto"/>
          <w:sz w:val="24"/>
          <w:szCs w:val="24"/>
          <w:highlight w:val="none"/>
          <w:shd w:val="clear" w:color="auto" w:fill="auto"/>
        </w:rPr>
      </w:pPr>
    </w:p>
    <w:p w14:paraId="5A44E2D3">
      <w:pPr>
        <w:pStyle w:val="7"/>
        <w:spacing w:before="5" w:line="360" w:lineRule="auto"/>
        <w:rPr>
          <w:rFonts w:hint="eastAsia" w:ascii="宋体" w:hAnsi="宋体" w:eastAsia="宋体" w:cs="宋体"/>
          <w:b/>
          <w:bCs/>
          <w:color w:val="auto"/>
          <w:sz w:val="24"/>
          <w:szCs w:val="24"/>
          <w:highlight w:val="none"/>
          <w:shd w:val="clear" w:color="auto" w:fill="auto"/>
        </w:rPr>
      </w:pPr>
    </w:p>
    <w:p w14:paraId="23A4F917">
      <w:pPr>
        <w:pStyle w:val="7"/>
        <w:spacing w:before="5" w:line="360" w:lineRule="auto"/>
        <w:rPr>
          <w:rFonts w:hint="eastAsia" w:ascii="宋体" w:hAnsi="宋体" w:eastAsia="宋体" w:cs="宋体"/>
          <w:b/>
          <w:bCs/>
          <w:color w:val="auto"/>
          <w:sz w:val="24"/>
          <w:szCs w:val="24"/>
          <w:highlight w:val="none"/>
          <w:shd w:val="clear" w:color="auto" w:fill="auto"/>
        </w:rPr>
      </w:pPr>
    </w:p>
    <w:p w14:paraId="0C08AEBE">
      <w:pPr>
        <w:pStyle w:val="7"/>
        <w:spacing w:before="5" w:line="360" w:lineRule="auto"/>
        <w:rPr>
          <w:rFonts w:hint="eastAsia" w:ascii="宋体" w:hAnsi="宋体" w:eastAsia="宋体" w:cs="宋体"/>
          <w:b/>
          <w:bCs/>
          <w:color w:val="auto"/>
          <w:sz w:val="24"/>
          <w:szCs w:val="24"/>
          <w:highlight w:val="none"/>
          <w:shd w:val="clear" w:color="auto" w:fill="auto"/>
        </w:rPr>
      </w:pPr>
    </w:p>
    <w:p w14:paraId="5B93D03F">
      <w:pPr>
        <w:pStyle w:val="7"/>
        <w:spacing w:before="5" w:line="360" w:lineRule="auto"/>
        <w:rPr>
          <w:rFonts w:hint="eastAsia" w:ascii="宋体" w:hAnsi="宋体" w:eastAsia="宋体" w:cs="宋体"/>
          <w:b/>
          <w:bCs/>
          <w:color w:val="auto"/>
          <w:sz w:val="28"/>
          <w:szCs w:val="28"/>
          <w:highlight w:val="none"/>
          <w:shd w:val="clear" w:color="auto" w:fill="auto"/>
        </w:rPr>
      </w:pPr>
    </w:p>
    <w:p w14:paraId="378B7117">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center"/>
        <w:textAlignment w:val="baseline"/>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bCs/>
          <w:color w:val="auto"/>
          <w:sz w:val="28"/>
          <w:szCs w:val="28"/>
          <w:highlight w:val="none"/>
          <w:shd w:val="clear" w:color="auto" w:fill="auto"/>
        </w:rPr>
        <w:br w:type="page"/>
      </w:r>
      <w:r>
        <w:rPr>
          <w:rFonts w:hint="eastAsia" w:ascii="宋体" w:hAnsi="宋体" w:eastAsia="宋体" w:cs="宋体"/>
          <w:b/>
          <w:bCs/>
          <w:color w:val="auto"/>
          <w:kern w:val="2"/>
          <w:sz w:val="32"/>
          <w:szCs w:val="32"/>
          <w:highlight w:val="none"/>
          <w:shd w:val="clear" w:color="auto" w:fill="auto"/>
          <w:lang w:val="en-US" w:eastAsia="zh-CN" w:bidi="ar-SA"/>
        </w:rPr>
        <w:t>关于符合本国产品标准的声明函</w:t>
      </w:r>
    </w:p>
    <w:p w14:paraId="5CFE8AE7">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3BE43CB9">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1.</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（产品名称1）</w:t>
      </w:r>
      <w:r>
        <w:rPr>
          <w:rFonts w:hint="eastAsia" w:ascii="宋体" w:hAnsi="宋体" w:eastAsia="宋体" w:cs="宋体"/>
          <w:i w:val="0"/>
          <w:iCs w:val="0"/>
          <w:caps w:val="0"/>
          <w:color w:val="333333"/>
          <w:spacing w:val="0"/>
          <w:sz w:val="24"/>
          <w:szCs w:val="24"/>
          <w:highlight w:val="none"/>
          <w:shd w:val="clear" w:color="auto" w:fill="FFFFFF"/>
          <w:vertAlign w:val="baseline"/>
        </w:rPr>
        <w:t>，生产厂为</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（厂名）</w:t>
      </w:r>
      <w:r>
        <w:rPr>
          <w:rFonts w:hint="eastAsia" w:ascii="宋体" w:hAnsi="宋体" w:eastAsia="宋体" w:cs="宋体"/>
          <w:i w:val="0"/>
          <w:iCs w:val="0"/>
          <w:caps w:val="0"/>
          <w:color w:val="333333"/>
          <w:spacing w:val="0"/>
          <w:sz w:val="24"/>
          <w:szCs w:val="24"/>
          <w:highlight w:val="none"/>
          <w:shd w:val="clear" w:color="auto" w:fill="FFFFFF"/>
          <w:vertAlign w:val="baseline"/>
        </w:rPr>
        <w:t>，厂址为</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（生产厂址）</w:t>
      </w:r>
      <w:r>
        <w:rPr>
          <w:rFonts w:hint="eastAsia" w:ascii="宋体" w:hAnsi="宋体" w:eastAsia="宋体" w:cs="宋体"/>
          <w:i w:val="0"/>
          <w:iCs w:val="0"/>
          <w:caps w:val="0"/>
          <w:color w:val="333333"/>
          <w:spacing w:val="0"/>
          <w:sz w:val="24"/>
          <w:szCs w:val="24"/>
          <w:highlight w:val="none"/>
          <w:shd w:val="clear" w:color="auto" w:fill="FFFFFF"/>
          <w:vertAlign w:val="baseline"/>
        </w:rPr>
        <w:t>。</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（产品名称1）</w:t>
      </w:r>
      <w:r>
        <w:rPr>
          <w:rFonts w:hint="eastAsia" w:ascii="宋体" w:hAnsi="宋体" w:eastAsia="宋体" w:cs="宋体"/>
          <w:i w:val="0"/>
          <w:iCs w:val="0"/>
          <w:caps w:val="0"/>
          <w:color w:val="333333"/>
          <w:spacing w:val="0"/>
          <w:sz w:val="24"/>
          <w:szCs w:val="24"/>
          <w:highlight w:val="none"/>
          <w:shd w:val="clear" w:color="auto" w:fill="FFFFFF"/>
          <w:vertAlign w:val="baseline"/>
        </w:rPr>
        <w:t>的中国境内生产的组件成本占比≥</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（规定比例）</w:t>
      </w:r>
      <w:r>
        <w:rPr>
          <w:rFonts w:hint="eastAsia" w:ascii="宋体" w:hAnsi="宋体" w:eastAsia="宋体" w:cs="宋体"/>
          <w:i w:val="0"/>
          <w:iCs w:val="0"/>
          <w:caps w:val="0"/>
          <w:color w:val="333333"/>
          <w:spacing w:val="0"/>
          <w:sz w:val="24"/>
          <w:szCs w:val="24"/>
          <w:highlight w:val="none"/>
          <w:shd w:val="clear" w:color="auto" w:fill="FFFFFF"/>
          <w:vertAlign w:val="baseline"/>
        </w:rPr>
        <w:t>。</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（产品名称1）</w:t>
      </w:r>
      <w:r>
        <w:rPr>
          <w:rFonts w:hint="eastAsia" w:ascii="宋体" w:hAnsi="宋体" w:eastAsia="宋体" w:cs="宋体"/>
          <w:i w:val="0"/>
          <w:iCs w:val="0"/>
          <w:caps w:val="0"/>
          <w:color w:val="333333"/>
          <w:spacing w:val="0"/>
          <w:sz w:val="24"/>
          <w:szCs w:val="24"/>
          <w:highlight w:val="none"/>
          <w:shd w:val="clear" w:color="auto" w:fill="FFFFFF"/>
          <w:vertAlign w:val="baseline"/>
        </w:rPr>
        <w:t>的</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（关键组件）在</w:t>
      </w:r>
      <w:r>
        <w:rPr>
          <w:rFonts w:hint="eastAsia" w:ascii="宋体" w:hAnsi="宋体" w:eastAsia="宋体" w:cs="宋体"/>
          <w:i w:val="0"/>
          <w:iCs w:val="0"/>
          <w:caps w:val="0"/>
          <w:color w:val="333333"/>
          <w:spacing w:val="0"/>
          <w:sz w:val="24"/>
          <w:szCs w:val="24"/>
          <w:highlight w:val="none"/>
          <w:shd w:val="clear" w:color="auto" w:fill="FFFFFF"/>
          <w:vertAlign w:val="baseline"/>
        </w:rPr>
        <w:t>中国境内生产。</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（产品名称1）</w:t>
      </w:r>
      <w:r>
        <w:rPr>
          <w:rFonts w:hint="eastAsia" w:ascii="宋体" w:hAnsi="宋体" w:eastAsia="宋体" w:cs="宋体"/>
          <w:i w:val="0"/>
          <w:iCs w:val="0"/>
          <w:caps w:val="0"/>
          <w:color w:val="333333"/>
          <w:spacing w:val="0"/>
          <w:sz w:val="24"/>
          <w:szCs w:val="24"/>
          <w:highlight w:val="none"/>
          <w:shd w:val="clear" w:color="auto" w:fill="FFFFFF"/>
          <w:vertAlign w:val="baseline"/>
        </w:rPr>
        <w:t>的</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（关键工序）</w:t>
      </w:r>
      <w:r>
        <w:rPr>
          <w:rFonts w:hint="eastAsia" w:ascii="宋体" w:hAnsi="宋体" w:eastAsia="宋体" w:cs="宋体"/>
          <w:i w:val="0"/>
          <w:iCs w:val="0"/>
          <w:caps w:val="0"/>
          <w:color w:val="333333"/>
          <w:spacing w:val="0"/>
          <w:sz w:val="24"/>
          <w:szCs w:val="24"/>
          <w:highlight w:val="none"/>
          <w:shd w:val="clear" w:color="auto" w:fill="FFFFFF"/>
          <w:vertAlign w:val="baseline"/>
        </w:rPr>
        <w:t>在中国境内完成。</w:t>
      </w:r>
    </w:p>
    <w:p w14:paraId="6F45E839">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2.</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（产品名称2）</w:t>
      </w:r>
      <w:r>
        <w:rPr>
          <w:rFonts w:hint="eastAsia" w:ascii="宋体" w:hAnsi="宋体" w:eastAsia="宋体" w:cs="宋体"/>
          <w:i w:val="0"/>
          <w:iCs w:val="0"/>
          <w:caps w:val="0"/>
          <w:color w:val="333333"/>
          <w:spacing w:val="0"/>
          <w:sz w:val="24"/>
          <w:szCs w:val="24"/>
          <w:highlight w:val="none"/>
          <w:shd w:val="clear" w:color="auto" w:fill="FFFFFF"/>
          <w:vertAlign w:val="baseline"/>
        </w:rPr>
        <w:t>，生产厂为</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（厂名）</w:t>
      </w:r>
      <w:r>
        <w:rPr>
          <w:rFonts w:hint="eastAsia" w:ascii="宋体" w:hAnsi="宋体" w:eastAsia="宋体" w:cs="宋体"/>
          <w:i w:val="0"/>
          <w:iCs w:val="0"/>
          <w:caps w:val="0"/>
          <w:color w:val="333333"/>
          <w:spacing w:val="0"/>
          <w:sz w:val="24"/>
          <w:szCs w:val="24"/>
          <w:highlight w:val="none"/>
          <w:shd w:val="clear" w:color="auto" w:fill="FFFFFF"/>
          <w:vertAlign w:val="baseline"/>
        </w:rPr>
        <w:t>，厂址为</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（生产厂址）</w:t>
      </w:r>
      <w:r>
        <w:rPr>
          <w:rFonts w:hint="eastAsia" w:ascii="宋体" w:hAnsi="宋体" w:eastAsia="宋体" w:cs="宋体"/>
          <w:i w:val="0"/>
          <w:iCs w:val="0"/>
          <w:caps w:val="0"/>
          <w:color w:val="333333"/>
          <w:spacing w:val="0"/>
          <w:sz w:val="24"/>
          <w:szCs w:val="24"/>
          <w:highlight w:val="none"/>
          <w:shd w:val="clear" w:color="auto" w:fill="FFFFFF"/>
          <w:vertAlign w:val="baseline"/>
        </w:rPr>
        <w:t>。</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（产品名称2）</w:t>
      </w:r>
      <w:r>
        <w:rPr>
          <w:rFonts w:hint="eastAsia" w:ascii="宋体" w:hAnsi="宋体" w:eastAsia="宋体" w:cs="宋体"/>
          <w:i w:val="0"/>
          <w:iCs w:val="0"/>
          <w:caps w:val="0"/>
          <w:color w:val="333333"/>
          <w:spacing w:val="0"/>
          <w:sz w:val="24"/>
          <w:szCs w:val="24"/>
          <w:highlight w:val="none"/>
          <w:shd w:val="clear" w:color="auto" w:fill="FFFFFF"/>
          <w:vertAlign w:val="baseline"/>
        </w:rPr>
        <w:t>的中国境内生产的组件成本占比≥</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（规定比例）</w:t>
      </w:r>
      <w:r>
        <w:rPr>
          <w:rFonts w:hint="eastAsia" w:ascii="宋体" w:hAnsi="宋体" w:eastAsia="宋体" w:cs="宋体"/>
          <w:i w:val="0"/>
          <w:iCs w:val="0"/>
          <w:caps w:val="0"/>
          <w:color w:val="333333"/>
          <w:spacing w:val="0"/>
          <w:sz w:val="24"/>
          <w:szCs w:val="24"/>
          <w:highlight w:val="none"/>
          <w:shd w:val="clear" w:color="auto" w:fill="FFFFFF"/>
          <w:vertAlign w:val="baseline"/>
        </w:rPr>
        <w:t>。</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（产品名称2）</w:t>
      </w:r>
      <w:r>
        <w:rPr>
          <w:rFonts w:hint="eastAsia" w:ascii="宋体" w:hAnsi="宋体" w:eastAsia="宋体" w:cs="宋体"/>
          <w:i w:val="0"/>
          <w:iCs w:val="0"/>
          <w:caps w:val="0"/>
          <w:color w:val="333333"/>
          <w:spacing w:val="0"/>
          <w:sz w:val="24"/>
          <w:szCs w:val="24"/>
          <w:highlight w:val="none"/>
          <w:shd w:val="clear" w:color="auto" w:fill="FFFFFF"/>
          <w:vertAlign w:val="baseline"/>
        </w:rPr>
        <w:t>的</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（关键组件）</w:t>
      </w:r>
      <w:r>
        <w:rPr>
          <w:rFonts w:hint="eastAsia" w:ascii="宋体" w:hAnsi="宋体" w:eastAsia="宋体" w:cs="宋体"/>
          <w:i w:val="0"/>
          <w:iCs w:val="0"/>
          <w:caps w:val="0"/>
          <w:color w:val="333333"/>
          <w:spacing w:val="0"/>
          <w:sz w:val="24"/>
          <w:szCs w:val="24"/>
          <w:highlight w:val="none"/>
          <w:shd w:val="clear" w:color="auto" w:fill="FFFFFF"/>
          <w:vertAlign w:val="baseline"/>
        </w:rPr>
        <w:t>在中国境内生产。</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（产品名称2）</w:t>
      </w:r>
      <w:r>
        <w:rPr>
          <w:rFonts w:hint="eastAsia" w:ascii="宋体" w:hAnsi="宋体" w:eastAsia="宋体" w:cs="宋体"/>
          <w:i w:val="0"/>
          <w:iCs w:val="0"/>
          <w:caps w:val="0"/>
          <w:color w:val="333333"/>
          <w:spacing w:val="0"/>
          <w:sz w:val="24"/>
          <w:szCs w:val="24"/>
          <w:highlight w:val="none"/>
          <w:shd w:val="clear" w:color="auto" w:fill="FFFFFF"/>
          <w:vertAlign w:val="baseline"/>
        </w:rPr>
        <w:t>的</w:t>
      </w:r>
      <w:r>
        <w:rPr>
          <w:rFonts w:hint="eastAsia" w:ascii="宋体" w:hAnsi="宋体" w:eastAsia="宋体" w:cs="宋体"/>
          <w:i w:val="0"/>
          <w:iCs w:val="0"/>
          <w:caps w:val="0"/>
          <w:color w:val="333333"/>
          <w:spacing w:val="0"/>
          <w:sz w:val="24"/>
          <w:szCs w:val="24"/>
          <w:highlight w:val="none"/>
          <w:u w:val="single"/>
          <w:shd w:val="clear" w:color="auto" w:fill="FFFFFF"/>
          <w:vertAlign w:val="baseline"/>
        </w:rPr>
        <w:t>（关键工序）</w:t>
      </w:r>
      <w:r>
        <w:rPr>
          <w:rFonts w:hint="eastAsia" w:ascii="宋体" w:hAnsi="宋体" w:eastAsia="宋体" w:cs="宋体"/>
          <w:i w:val="0"/>
          <w:iCs w:val="0"/>
          <w:caps w:val="0"/>
          <w:color w:val="333333"/>
          <w:spacing w:val="0"/>
          <w:sz w:val="24"/>
          <w:szCs w:val="24"/>
          <w:highlight w:val="none"/>
          <w:shd w:val="clear" w:color="auto" w:fill="FFFFFF"/>
          <w:vertAlign w:val="baseline"/>
        </w:rPr>
        <w:t>在中国境内完成。</w:t>
      </w:r>
    </w:p>
    <w:p w14:paraId="554A1492">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w:t>
      </w:r>
    </w:p>
    <w:p w14:paraId="16B9FCDC">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本公司（单位）对上述声明内容的真实性负责。如有虚假，愿承担相应法律责任。</w:t>
      </w:r>
    </w:p>
    <w:p w14:paraId="0CD7B90A">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textAlignment w:val="baseline"/>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 </w:t>
      </w:r>
    </w:p>
    <w:p w14:paraId="7E892EDF">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3840" w:firstLineChars="1600"/>
        <w:jc w:val="both"/>
        <w:textAlignment w:val="baseline"/>
        <w:rPr>
          <w:rFonts w:hint="eastAsia" w:ascii="宋体" w:hAnsi="宋体" w:eastAsia="宋体" w:cs="宋体"/>
          <w:i w:val="0"/>
          <w:iCs w:val="0"/>
          <w:caps w:val="0"/>
          <w:color w:val="333333"/>
          <w:spacing w:val="0"/>
          <w:sz w:val="24"/>
          <w:szCs w:val="24"/>
          <w:highlight w:val="none"/>
          <w:shd w:val="clear" w:color="auto" w:fill="FFFFFF"/>
          <w:vertAlign w:val="baseline"/>
        </w:rPr>
      </w:pPr>
      <w:r>
        <w:rPr>
          <w:rFonts w:hint="eastAsia" w:ascii="宋体" w:hAnsi="宋体" w:eastAsia="宋体" w:cs="宋体"/>
          <w:i w:val="0"/>
          <w:iCs w:val="0"/>
          <w:caps w:val="0"/>
          <w:color w:val="333333"/>
          <w:spacing w:val="0"/>
          <w:sz w:val="24"/>
          <w:szCs w:val="24"/>
          <w:highlight w:val="none"/>
          <w:shd w:val="clear" w:color="auto" w:fill="FFFFFF"/>
          <w:vertAlign w:val="baseline"/>
        </w:rPr>
        <w:t>公司（单位）名称（盖章）：　        </w:t>
      </w:r>
    </w:p>
    <w:p w14:paraId="0C80322E">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3840" w:firstLineChars="1600"/>
        <w:jc w:val="both"/>
        <w:textAlignment w:val="baseline"/>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日期：　     年　  月　  日         </w:t>
      </w:r>
    </w:p>
    <w:p w14:paraId="453E11AC">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1.产品如有型号，请在“产品名称”栏一并填写。</w:t>
      </w:r>
    </w:p>
    <w:p w14:paraId="4C965A33">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2.生产厂名与厂址应与生产厂营业执照载明的相关信息保持一致。</w:t>
      </w:r>
    </w:p>
    <w:p w14:paraId="65350721">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3.该产品的中国境内生产的组件成本占比相关要求实施前，“规定比例”栏可不填，下同。</w:t>
      </w:r>
    </w:p>
    <w:p w14:paraId="518DE644">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333333"/>
          <w:spacing w:val="0"/>
          <w:sz w:val="24"/>
          <w:szCs w:val="24"/>
          <w:highlight w:val="none"/>
          <w:shd w:val="clear" w:color="auto" w:fill="FFFFFF"/>
          <w:vertAlign w:val="baseline"/>
        </w:rPr>
      </w:pPr>
      <w:r>
        <w:rPr>
          <w:rFonts w:hint="eastAsia" w:ascii="宋体" w:hAnsi="宋体" w:eastAsia="宋体" w:cs="宋体"/>
          <w:i w:val="0"/>
          <w:iCs w:val="0"/>
          <w:caps w:val="0"/>
          <w:color w:val="333333"/>
          <w:spacing w:val="0"/>
          <w:sz w:val="24"/>
          <w:szCs w:val="24"/>
          <w:highlight w:val="none"/>
          <w:shd w:val="clear" w:color="auto" w:fill="FFFFFF"/>
          <w:vertAlign w:val="baseline"/>
        </w:rPr>
        <w:t>4.该产品的关键组件要求实施前，“关键组件”栏可不填，下同。</w:t>
      </w:r>
    </w:p>
    <w:p w14:paraId="584BC2F0">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420"/>
        <w:textAlignment w:val="baseline"/>
        <w:rPr>
          <w:rFonts w:hint="eastAsia" w:ascii="宋体" w:hAnsi="宋体" w:eastAsia="宋体" w:cs="宋体"/>
          <w:highlight w:val="none"/>
          <w:lang w:val="en-US" w:eastAsia="zh-CN"/>
        </w:rPr>
      </w:pPr>
      <w:r>
        <w:rPr>
          <w:rFonts w:hint="eastAsia" w:ascii="宋体" w:hAnsi="宋体" w:eastAsia="宋体" w:cs="宋体"/>
          <w:i w:val="0"/>
          <w:iCs w:val="0"/>
          <w:caps w:val="0"/>
          <w:color w:val="333333"/>
          <w:spacing w:val="0"/>
          <w:sz w:val="24"/>
          <w:szCs w:val="24"/>
          <w:highlight w:val="none"/>
          <w:shd w:val="clear" w:color="auto" w:fill="FFFFFF"/>
          <w:vertAlign w:val="baseline"/>
        </w:rPr>
        <w:t>5.该产品的关键工序要求实施前</w:t>
      </w:r>
      <w:r>
        <w:rPr>
          <w:rFonts w:hint="eastAsia" w:ascii="宋体" w:hAnsi="宋体" w:eastAsia="宋体" w:cs="宋体"/>
          <w:i w:val="0"/>
          <w:iCs w:val="0"/>
          <w:caps w:val="0"/>
          <w:color w:val="333333"/>
          <w:spacing w:val="0"/>
          <w:sz w:val="24"/>
          <w:szCs w:val="24"/>
          <w:highlight w:val="none"/>
          <w:shd w:val="clear" w:color="auto" w:fill="FFFFFF"/>
          <w:vertAlign w:val="baseline"/>
          <w:lang w:eastAsia="zh-CN"/>
        </w:rPr>
        <w:t>，</w:t>
      </w:r>
      <w:r>
        <w:rPr>
          <w:rFonts w:hint="eastAsia" w:ascii="宋体" w:hAnsi="宋体" w:eastAsia="宋体" w:cs="宋体"/>
          <w:i w:val="0"/>
          <w:iCs w:val="0"/>
          <w:caps w:val="0"/>
          <w:color w:val="333333"/>
          <w:spacing w:val="0"/>
          <w:sz w:val="24"/>
          <w:szCs w:val="24"/>
          <w:highlight w:val="none"/>
          <w:shd w:val="clear" w:color="auto" w:fill="FFFFFF"/>
          <w:vertAlign w:val="baseline"/>
        </w:rPr>
        <w:t>“关键工序”栏可不填，下同。</w:t>
      </w:r>
    </w:p>
    <w:p w14:paraId="50797F1D">
      <w:pPr>
        <w:rPr>
          <w:rFonts w:hint="eastAsia" w:ascii="宋体" w:hAnsi="宋体" w:eastAsia="宋体" w:cs="宋体"/>
          <w:highlight w:val="none"/>
        </w:rPr>
      </w:pPr>
    </w:p>
    <w:p w14:paraId="343A009F">
      <w:pPr>
        <w:pStyle w:val="7"/>
        <w:spacing w:before="5" w:line="360" w:lineRule="auto"/>
        <w:rPr>
          <w:rFonts w:hint="eastAsia" w:ascii="宋体" w:hAnsi="宋体" w:eastAsia="宋体" w:cs="宋体"/>
          <w:b/>
          <w:bCs/>
          <w:color w:val="auto"/>
          <w:sz w:val="28"/>
          <w:szCs w:val="28"/>
          <w:highlight w:val="none"/>
          <w:shd w:val="clear" w:color="auto" w:fill="auto"/>
        </w:rPr>
      </w:pPr>
      <w:r>
        <w:rPr>
          <w:rFonts w:hint="eastAsia" w:ascii="宋体" w:hAnsi="宋体" w:eastAsia="宋体" w:cs="宋体"/>
          <w:b/>
          <w:bCs/>
          <w:color w:val="auto"/>
          <w:sz w:val="28"/>
          <w:szCs w:val="28"/>
          <w:highlight w:val="none"/>
          <w:shd w:val="clear" w:color="auto" w:fill="auto"/>
        </w:rPr>
        <w:br w:type="page"/>
      </w:r>
    </w:p>
    <w:p w14:paraId="7608F2AF">
      <w:pPr>
        <w:pStyle w:val="3"/>
        <w:bidi w:val="0"/>
        <w:rPr>
          <w:rFonts w:hint="eastAsia" w:ascii="宋体" w:hAnsi="宋体" w:eastAsia="宋体" w:cs="宋体"/>
          <w:color w:val="auto"/>
          <w:highlight w:val="none"/>
          <w:shd w:val="clear" w:color="auto" w:fill="auto"/>
        </w:rPr>
      </w:pPr>
      <w:bookmarkStart w:id="255" w:name="_Toc30928"/>
      <w:bookmarkStart w:id="256" w:name="_Toc31162"/>
      <w:bookmarkStart w:id="257" w:name="_Toc26347"/>
      <w:bookmarkStart w:id="258" w:name="_Toc19380"/>
      <w:bookmarkStart w:id="259" w:name="_Toc16140"/>
      <w:r>
        <w:rPr>
          <w:rFonts w:hint="eastAsia" w:ascii="宋体" w:hAnsi="宋体" w:eastAsia="宋体" w:cs="宋体"/>
          <w:color w:val="auto"/>
          <w:highlight w:val="none"/>
          <w:shd w:val="clear" w:color="auto" w:fill="auto"/>
        </w:rPr>
        <w:t xml:space="preserve">   封袋正面标识式样</w:t>
      </w:r>
      <w:bookmarkEnd w:id="255"/>
      <w:bookmarkEnd w:id="256"/>
      <w:bookmarkEnd w:id="257"/>
      <w:bookmarkEnd w:id="258"/>
      <w:bookmarkEnd w:id="259"/>
    </w:p>
    <w:p w14:paraId="33EF1F99">
      <w:pPr>
        <w:spacing w:line="460" w:lineRule="exact"/>
        <w:rPr>
          <w:rFonts w:hint="eastAsia" w:ascii="宋体" w:hAnsi="宋体" w:eastAsia="宋体" w:cs="宋体"/>
          <w:b/>
          <w:color w:val="auto"/>
          <w:highlight w:val="none"/>
          <w:shd w:val="clear" w:color="auto" w:fill="auto"/>
        </w:rPr>
      </w:pPr>
      <w:r>
        <w:rPr>
          <w:rFonts w:hint="eastAsia" w:ascii="宋体" w:hAnsi="宋体" w:eastAsia="宋体" w:cs="宋体"/>
          <w:b/>
          <w:color w:val="auto"/>
          <w:highlight w:val="none"/>
          <w:shd w:val="clear" w:color="auto" w:fill="auto"/>
        </w:rPr>
        <w:t>投标文件封袋正面标识式样</w:t>
      </w:r>
    </w:p>
    <w:p w14:paraId="59D5DA07">
      <w:pPr>
        <w:spacing w:line="460" w:lineRule="exact"/>
        <w:ind w:firstLine="422" w:firstLineChars="200"/>
        <w:rPr>
          <w:rFonts w:hint="eastAsia" w:ascii="宋体" w:hAnsi="宋体" w:eastAsia="宋体" w:cs="宋体"/>
          <w:b/>
          <w:color w:val="auto"/>
          <w:highlight w:val="none"/>
          <w:shd w:val="clear" w:color="auto" w:fill="auto"/>
        </w:rPr>
      </w:pPr>
      <w:r>
        <w:rPr>
          <w:rFonts w:hint="eastAsia" w:ascii="宋体" w:hAnsi="宋体" w:eastAsia="宋体" w:cs="宋体"/>
          <w:b/>
          <w:color w:val="auto"/>
          <w:highlight w:val="none"/>
          <w:shd w:val="clear" w:color="auto" w:fill="auto"/>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121920</wp:posOffset>
                </wp:positionV>
                <wp:extent cx="5220335" cy="2828290"/>
                <wp:effectExtent l="4445" t="4445" r="13970" b="5715"/>
                <wp:wrapNone/>
                <wp:docPr id="2" name="文本框 2"/>
                <wp:cNvGraphicFramePr/>
                <a:graphic xmlns:a="http://schemas.openxmlformats.org/drawingml/2006/main">
                  <a:graphicData uri="http://schemas.microsoft.com/office/word/2010/wordprocessingShape">
                    <wps:wsp>
                      <wps:cNvSpPr txBox="1"/>
                      <wps:spPr>
                        <a:xfrm>
                          <a:off x="0" y="0"/>
                          <a:ext cx="5220335" cy="28282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CC9DD8">
                            <w:pPr>
                              <w:rPr>
                                <w:rFonts w:hint="eastAsia" w:ascii="宋体" w:hAnsi="宋体" w:eastAsia="宋体" w:cs="宋体"/>
                                <w:szCs w:val="24"/>
                                <w:shd w:val="clear" w:color="auto" w:fill="FFFFFF"/>
                                <w:lang w:eastAsia="zh-CN"/>
                              </w:rPr>
                            </w:pPr>
                            <w:r>
                              <w:rPr>
                                <w:rFonts w:hint="eastAsia"/>
                                <w:szCs w:val="24"/>
                              </w:rPr>
                              <w:t>致</w:t>
                            </w:r>
                            <w:r>
                              <w:rPr>
                                <w:rFonts w:hint="eastAsia" w:ascii="Times New Roman" w:hAnsi="Times New Roman" w:eastAsia="宋体" w:cs="Times New Roman"/>
                                <w:szCs w:val="24"/>
                              </w:rPr>
                              <w:t>：</w:t>
                            </w:r>
                            <w:r>
                              <w:rPr>
                                <w:rFonts w:hint="eastAsia" w:ascii="Times New Roman" w:hAnsi="Times New Roman" w:eastAsia="宋体" w:cs="Times New Roman"/>
                                <w:szCs w:val="24"/>
                                <w:lang w:eastAsia="zh-CN"/>
                              </w:rPr>
                              <w:t>华智建造价咨询有限公司</w:t>
                            </w:r>
                          </w:p>
                          <w:p w14:paraId="2E5EE35F">
                            <w:pPr>
                              <w:rPr>
                                <w:rFonts w:hint="eastAsia"/>
                                <w:szCs w:val="24"/>
                              </w:rPr>
                            </w:pPr>
                            <w:r>
                              <w:rPr>
                                <w:rFonts w:hint="eastAsia"/>
                                <w:szCs w:val="24"/>
                              </w:rPr>
                              <w:t>项目名称：</w:t>
                            </w:r>
                          </w:p>
                          <w:p w14:paraId="0D7E4C22">
                            <w:pPr>
                              <w:jc w:val="center"/>
                              <w:rPr>
                                <w:rFonts w:hint="eastAsia"/>
                                <w:b/>
                                <w:sz w:val="44"/>
                                <w:szCs w:val="44"/>
                              </w:rPr>
                            </w:pPr>
                            <w:r>
                              <w:rPr>
                                <w:rFonts w:hint="eastAsia"/>
                                <w:b/>
                                <w:sz w:val="44"/>
                                <w:szCs w:val="44"/>
                              </w:rPr>
                              <w:t>投标文件（正本或副本）</w:t>
                            </w:r>
                          </w:p>
                          <w:p w14:paraId="11F14420">
                            <w:pPr>
                              <w:jc w:val="center"/>
                              <w:rPr>
                                <w:rFonts w:hint="eastAsia"/>
                                <w:szCs w:val="24"/>
                              </w:rPr>
                            </w:pPr>
                            <w:r>
                              <w:rPr>
                                <w:rFonts w:hint="eastAsia"/>
                                <w:szCs w:val="24"/>
                              </w:rPr>
                              <w:t>（开标时启封）</w:t>
                            </w:r>
                          </w:p>
                          <w:p w14:paraId="61FB7D76">
                            <w:pPr>
                              <w:pStyle w:val="13"/>
                              <w:rPr>
                                <w:rFonts w:hint="eastAsia"/>
                              </w:rPr>
                            </w:pPr>
                          </w:p>
                          <w:p w14:paraId="30D82BBA">
                            <w:pPr>
                              <w:rPr>
                                <w:rFonts w:hint="eastAsia"/>
                                <w:szCs w:val="24"/>
                              </w:rPr>
                            </w:pPr>
                            <w:r>
                              <w:rPr>
                                <w:rFonts w:hint="eastAsia"/>
                                <w:szCs w:val="24"/>
                                <w:lang w:eastAsia="zh-CN"/>
                              </w:rPr>
                              <w:t>供应商</w:t>
                            </w:r>
                            <w:r>
                              <w:rPr>
                                <w:rFonts w:hint="eastAsia"/>
                                <w:szCs w:val="24"/>
                              </w:rPr>
                              <w:t>全称：</w:t>
                            </w:r>
                            <w:r>
                              <w:rPr>
                                <w:rFonts w:hint="eastAsia"/>
                                <w:szCs w:val="24"/>
                                <w:u w:val="single"/>
                              </w:rPr>
                              <w:t xml:space="preserve">                   </w:t>
                            </w:r>
                            <w:r>
                              <w:rPr>
                                <w:rFonts w:hint="eastAsia"/>
                                <w:szCs w:val="24"/>
                              </w:rPr>
                              <w:t>（公章）</w:t>
                            </w:r>
                          </w:p>
                          <w:p w14:paraId="68175D19">
                            <w:pPr>
                              <w:pStyle w:val="13"/>
                              <w:ind w:left="0" w:leftChars="0" w:firstLine="0" w:firstLineChars="0"/>
                              <w:rPr>
                                <w:rFonts w:hint="eastAsia"/>
                                <w:sz w:val="21"/>
                                <w:szCs w:val="21"/>
                              </w:rPr>
                            </w:pPr>
                            <w:r>
                              <w:rPr>
                                <w:rFonts w:hint="eastAsia" w:ascii="Times New Roman" w:hAnsi="Times New Roman" w:eastAsia="宋体" w:cs="Times New Roman"/>
                                <w:color w:val="000000"/>
                                <w:kern w:val="2"/>
                                <w:sz w:val="21"/>
                                <w:szCs w:val="24"/>
                                <w:lang w:val="en-US" w:eastAsia="zh-CN" w:bidi="ar-SA"/>
                              </w:rPr>
                              <w:t>法定代表人或授权委托代理</w:t>
                            </w:r>
                            <w:r>
                              <w:rPr>
                                <w:rFonts w:hint="eastAsia" w:ascii="Times New Roman" w:hAnsi="Times New Roman" w:eastAsia="宋体" w:cs="Times New Roman"/>
                                <w:color w:val="000000"/>
                                <w:kern w:val="2"/>
                                <w:sz w:val="21"/>
                                <w:szCs w:val="21"/>
                                <w:lang w:val="en-US" w:eastAsia="zh-CN" w:bidi="ar-SA"/>
                              </w:rPr>
                              <w:t>人</w:t>
                            </w:r>
                            <w:r>
                              <w:rPr>
                                <w:rFonts w:hint="eastAsia" w:ascii="宋体" w:hAnsi="宋体"/>
                                <w:color w:val="000000"/>
                                <w:sz w:val="21"/>
                                <w:szCs w:val="21"/>
                              </w:rPr>
                              <w:t>（签字或盖章）：</w:t>
                            </w:r>
                          </w:p>
                          <w:p w14:paraId="182579B4">
                            <w:pPr>
                              <w:rPr>
                                <w:rFonts w:hint="eastAsia"/>
                                <w:szCs w:val="24"/>
                              </w:rPr>
                            </w:pPr>
                            <w:r>
                              <w:rPr>
                                <w:rFonts w:hint="eastAsia"/>
                                <w:szCs w:val="24"/>
                              </w:rPr>
                              <w:t xml:space="preserve">日      期：   年   月  日     </w:t>
                            </w:r>
                          </w:p>
                        </w:txbxContent>
                      </wps:txbx>
                      <wps:bodyPr upright="1"/>
                    </wps:wsp>
                  </a:graphicData>
                </a:graphic>
              </wp:anchor>
            </w:drawing>
          </mc:Choice>
          <mc:Fallback>
            <w:pict>
              <v:shape id="_x0000_s1026" o:spid="_x0000_s1026" o:spt="202" type="#_x0000_t202" style="position:absolute;left:0pt;margin-left:0pt;margin-top:9.6pt;height:222.7pt;width:411.05pt;z-index:251659264;mso-width-relative:page;mso-height-relative:page;" fillcolor="#FFFFFF" filled="t" stroked="t" coordsize="21600,21600" o:gfxdata="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JxG2E1wAAAAcBAAAPAAAAAAAAAAEAIAAA&#10;ACIAAABkcnMvZG93bnJldi54bWxQSwECFAAUAAAACACHTuJAi3EpvA0CAAA3BAAADgAAAAAAAAAB&#10;ACAAAAAmAQAAZHJzL2Uyb0RvYy54bWxQSwUGAAAAAAYABgBZAQAApQUAAAAA&#10;">
                <v:fill on="t" focussize="0,0"/>
                <v:stroke color="#000000" joinstyle="miter"/>
                <v:imagedata o:title=""/>
                <o:lock v:ext="edit" aspectratio="f"/>
                <v:textbox>
                  <w:txbxContent>
                    <w:p w14:paraId="45CC9DD8">
                      <w:pPr>
                        <w:rPr>
                          <w:rFonts w:hint="eastAsia" w:ascii="宋体" w:hAnsi="宋体" w:eastAsia="宋体" w:cs="宋体"/>
                          <w:szCs w:val="24"/>
                          <w:shd w:val="clear" w:color="auto" w:fill="FFFFFF"/>
                          <w:lang w:eastAsia="zh-CN"/>
                        </w:rPr>
                      </w:pPr>
                      <w:r>
                        <w:rPr>
                          <w:rFonts w:hint="eastAsia"/>
                          <w:szCs w:val="24"/>
                        </w:rPr>
                        <w:t>致</w:t>
                      </w:r>
                      <w:r>
                        <w:rPr>
                          <w:rFonts w:hint="eastAsia" w:ascii="Times New Roman" w:hAnsi="Times New Roman" w:eastAsia="宋体" w:cs="Times New Roman"/>
                          <w:szCs w:val="24"/>
                        </w:rPr>
                        <w:t>：</w:t>
                      </w:r>
                      <w:r>
                        <w:rPr>
                          <w:rFonts w:hint="eastAsia" w:ascii="Times New Roman" w:hAnsi="Times New Roman" w:eastAsia="宋体" w:cs="Times New Roman"/>
                          <w:szCs w:val="24"/>
                          <w:lang w:eastAsia="zh-CN"/>
                        </w:rPr>
                        <w:t>华智建造价咨询有限公司</w:t>
                      </w:r>
                    </w:p>
                    <w:p w14:paraId="2E5EE35F">
                      <w:pPr>
                        <w:rPr>
                          <w:rFonts w:hint="eastAsia"/>
                          <w:szCs w:val="24"/>
                        </w:rPr>
                      </w:pPr>
                      <w:r>
                        <w:rPr>
                          <w:rFonts w:hint="eastAsia"/>
                          <w:szCs w:val="24"/>
                        </w:rPr>
                        <w:t>项目名称：</w:t>
                      </w:r>
                    </w:p>
                    <w:p w14:paraId="0D7E4C22">
                      <w:pPr>
                        <w:jc w:val="center"/>
                        <w:rPr>
                          <w:rFonts w:hint="eastAsia"/>
                          <w:b/>
                          <w:sz w:val="44"/>
                          <w:szCs w:val="44"/>
                        </w:rPr>
                      </w:pPr>
                      <w:r>
                        <w:rPr>
                          <w:rFonts w:hint="eastAsia"/>
                          <w:b/>
                          <w:sz w:val="44"/>
                          <w:szCs w:val="44"/>
                        </w:rPr>
                        <w:t>投标文件（正本或副本）</w:t>
                      </w:r>
                    </w:p>
                    <w:p w14:paraId="11F14420">
                      <w:pPr>
                        <w:jc w:val="center"/>
                        <w:rPr>
                          <w:rFonts w:hint="eastAsia"/>
                          <w:szCs w:val="24"/>
                        </w:rPr>
                      </w:pPr>
                      <w:r>
                        <w:rPr>
                          <w:rFonts w:hint="eastAsia"/>
                          <w:szCs w:val="24"/>
                        </w:rPr>
                        <w:t>（开标时启封）</w:t>
                      </w:r>
                    </w:p>
                    <w:p w14:paraId="61FB7D76">
                      <w:pPr>
                        <w:pStyle w:val="13"/>
                        <w:rPr>
                          <w:rFonts w:hint="eastAsia"/>
                        </w:rPr>
                      </w:pPr>
                    </w:p>
                    <w:p w14:paraId="30D82BBA">
                      <w:pPr>
                        <w:rPr>
                          <w:rFonts w:hint="eastAsia"/>
                          <w:szCs w:val="24"/>
                        </w:rPr>
                      </w:pPr>
                      <w:r>
                        <w:rPr>
                          <w:rFonts w:hint="eastAsia"/>
                          <w:szCs w:val="24"/>
                          <w:lang w:eastAsia="zh-CN"/>
                        </w:rPr>
                        <w:t>供应商</w:t>
                      </w:r>
                      <w:r>
                        <w:rPr>
                          <w:rFonts w:hint="eastAsia"/>
                          <w:szCs w:val="24"/>
                        </w:rPr>
                        <w:t>全称：</w:t>
                      </w:r>
                      <w:r>
                        <w:rPr>
                          <w:rFonts w:hint="eastAsia"/>
                          <w:szCs w:val="24"/>
                          <w:u w:val="single"/>
                        </w:rPr>
                        <w:t xml:space="preserve">                   </w:t>
                      </w:r>
                      <w:r>
                        <w:rPr>
                          <w:rFonts w:hint="eastAsia"/>
                          <w:szCs w:val="24"/>
                        </w:rPr>
                        <w:t>（公章）</w:t>
                      </w:r>
                    </w:p>
                    <w:p w14:paraId="68175D19">
                      <w:pPr>
                        <w:pStyle w:val="13"/>
                        <w:ind w:left="0" w:leftChars="0" w:firstLine="0" w:firstLineChars="0"/>
                        <w:rPr>
                          <w:rFonts w:hint="eastAsia"/>
                          <w:sz w:val="21"/>
                          <w:szCs w:val="21"/>
                        </w:rPr>
                      </w:pPr>
                      <w:r>
                        <w:rPr>
                          <w:rFonts w:hint="eastAsia" w:ascii="Times New Roman" w:hAnsi="Times New Roman" w:eastAsia="宋体" w:cs="Times New Roman"/>
                          <w:color w:val="000000"/>
                          <w:kern w:val="2"/>
                          <w:sz w:val="21"/>
                          <w:szCs w:val="24"/>
                          <w:lang w:val="en-US" w:eastAsia="zh-CN" w:bidi="ar-SA"/>
                        </w:rPr>
                        <w:t>法定代表人或授权委托代理</w:t>
                      </w:r>
                      <w:r>
                        <w:rPr>
                          <w:rFonts w:hint="eastAsia" w:ascii="Times New Roman" w:hAnsi="Times New Roman" w:eastAsia="宋体" w:cs="Times New Roman"/>
                          <w:color w:val="000000"/>
                          <w:kern w:val="2"/>
                          <w:sz w:val="21"/>
                          <w:szCs w:val="21"/>
                          <w:lang w:val="en-US" w:eastAsia="zh-CN" w:bidi="ar-SA"/>
                        </w:rPr>
                        <w:t>人</w:t>
                      </w:r>
                      <w:r>
                        <w:rPr>
                          <w:rFonts w:hint="eastAsia" w:ascii="宋体" w:hAnsi="宋体"/>
                          <w:color w:val="000000"/>
                          <w:sz w:val="21"/>
                          <w:szCs w:val="21"/>
                        </w:rPr>
                        <w:t>（签字或盖章）：</w:t>
                      </w:r>
                    </w:p>
                    <w:p w14:paraId="182579B4">
                      <w:pPr>
                        <w:rPr>
                          <w:rFonts w:hint="eastAsia"/>
                          <w:szCs w:val="24"/>
                        </w:rPr>
                      </w:pPr>
                      <w:r>
                        <w:rPr>
                          <w:rFonts w:hint="eastAsia"/>
                          <w:szCs w:val="24"/>
                        </w:rPr>
                        <w:t xml:space="preserve">日      期：   年   月  日     </w:t>
                      </w:r>
                    </w:p>
                  </w:txbxContent>
                </v:textbox>
              </v:shape>
            </w:pict>
          </mc:Fallback>
        </mc:AlternateContent>
      </w:r>
    </w:p>
    <w:p w14:paraId="190A69E6">
      <w:pPr>
        <w:spacing w:line="460" w:lineRule="exact"/>
        <w:ind w:firstLine="422" w:firstLineChars="200"/>
        <w:rPr>
          <w:rFonts w:hint="eastAsia" w:ascii="宋体" w:hAnsi="宋体" w:eastAsia="宋体" w:cs="宋体"/>
          <w:b/>
          <w:color w:val="auto"/>
          <w:highlight w:val="none"/>
          <w:shd w:val="clear" w:color="auto" w:fill="auto"/>
        </w:rPr>
      </w:pPr>
    </w:p>
    <w:p w14:paraId="7C5DD30A">
      <w:pPr>
        <w:spacing w:line="460" w:lineRule="exact"/>
        <w:ind w:firstLine="422" w:firstLineChars="200"/>
        <w:rPr>
          <w:rFonts w:hint="eastAsia" w:ascii="宋体" w:hAnsi="宋体" w:eastAsia="宋体" w:cs="宋体"/>
          <w:b/>
          <w:color w:val="auto"/>
          <w:highlight w:val="none"/>
          <w:shd w:val="clear" w:color="auto" w:fill="auto"/>
        </w:rPr>
      </w:pPr>
    </w:p>
    <w:p w14:paraId="536CCFB8">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5491FF1C">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0CA390C4">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72AEB8A1">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3185C332">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78479779">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32F3C10F">
      <w:pPr>
        <w:spacing w:line="460" w:lineRule="exact"/>
        <w:rPr>
          <w:rFonts w:hint="eastAsia" w:ascii="宋体" w:hAnsi="宋体" w:eastAsia="宋体" w:cs="宋体"/>
          <w:b/>
          <w:color w:val="auto"/>
          <w:highlight w:val="none"/>
          <w:shd w:val="clear" w:color="auto" w:fill="auto"/>
        </w:rPr>
      </w:pPr>
    </w:p>
    <w:p w14:paraId="684C2126">
      <w:pPr>
        <w:spacing w:line="460" w:lineRule="exact"/>
        <w:rPr>
          <w:rFonts w:hint="eastAsia" w:ascii="宋体" w:hAnsi="宋体" w:eastAsia="宋体" w:cs="宋体"/>
          <w:b/>
          <w:color w:val="auto"/>
          <w:highlight w:val="none"/>
          <w:shd w:val="clear" w:color="auto" w:fill="auto"/>
        </w:rPr>
      </w:pPr>
    </w:p>
    <w:p w14:paraId="584D4A4E">
      <w:pPr>
        <w:spacing w:line="460" w:lineRule="exact"/>
        <w:rPr>
          <w:rFonts w:hint="eastAsia" w:ascii="宋体" w:hAnsi="宋体" w:eastAsia="宋体" w:cs="宋体"/>
          <w:b/>
          <w:color w:val="auto"/>
          <w:highlight w:val="none"/>
          <w:shd w:val="clear" w:color="auto" w:fill="auto"/>
        </w:rPr>
      </w:pPr>
      <w:r>
        <w:rPr>
          <w:rFonts w:hint="eastAsia" w:ascii="宋体" w:hAnsi="宋体" w:eastAsia="宋体" w:cs="宋体"/>
          <w:b/>
          <w:color w:val="auto"/>
          <w:highlight w:val="none"/>
          <w:shd w:val="clear" w:color="auto" w:fill="auto"/>
        </w:rPr>
        <w:t>投标文件封袋正面标识式样</w:t>
      </w:r>
    </w:p>
    <w:p w14:paraId="465EF6C8">
      <w:pPr>
        <w:spacing w:line="460" w:lineRule="exact"/>
        <w:ind w:firstLine="422" w:firstLineChars="200"/>
        <w:rPr>
          <w:rFonts w:hint="eastAsia" w:ascii="宋体" w:hAnsi="宋体" w:eastAsia="宋体" w:cs="宋体"/>
          <w:b/>
          <w:color w:val="auto"/>
          <w:highlight w:val="none"/>
          <w:shd w:val="clear" w:color="auto" w:fill="auto"/>
        </w:rPr>
      </w:pPr>
      <w:r>
        <w:rPr>
          <w:rFonts w:hint="eastAsia" w:ascii="宋体" w:hAnsi="宋体" w:eastAsia="宋体" w:cs="宋体"/>
          <w:b/>
          <w:color w:val="auto"/>
          <w:highlight w:val="none"/>
          <w:shd w:val="clear" w:color="auto" w:fill="auto"/>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121920</wp:posOffset>
                </wp:positionV>
                <wp:extent cx="5219700" cy="2997835"/>
                <wp:effectExtent l="4445" t="4445" r="14605" b="7620"/>
                <wp:wrapNone/>
                <wp:docPr id="5" name="文本框 5"/>
                <wp:cNvGraphicFramePr/>
                <a:graphic xmlns:a="http://schemas.openxmlformats.org/drawingml/2006/main">
                  <a:graphicData uri="http://schemas.microsoft.com/office/word/2010/wordprocessingShape">
                    <wps:wsp>
                      <wps:cNvSpPr txBox="1"/>
                      <wps:spPr>
                        <a:xfrm>
                          <a:off x="0" y="0"/>
                          <a:ext cx="5219700" cy="299783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47C408">
                            <w:pPr>
                              <w:rPr>
                                <w:rFonts w:hint="eastAsia" w:eastAsia="宋体"/>
                                <w:szCs w:val="24"/>
                                <w:lang w:eastAsia="zh-CN"/>
                              </w:rPr>
                            </w:pPr>
                            <w:r>
                              <w:rPr>
                                <w:rFonts w:hint="eastAsia"/>
                                <w:szCs w:val="24"/>
                              </w:rPr>
                              <w:t>致：</w:t>
                            </w:r>
                            <w:r>
                              <w:rPr>
                                <w:rFonts w:hint="eastAsia" w:ascii="Times New Roman" w:hAnsi="Times New Roman" w:eastAsia="宋体" w:cs="Times New Roman"/>
                                <w:szCs w:val="24"/>
                                <w:lang w:eastAsia="zh-CN"/>
                              </w:rPr>
                              <w:t>华智建造价咨询有限公司</w:t>
                            </w:r>
                          </w:p>
                          <w:p w14:paraId="25E2BDBE">
                            <w:pPr>
                              <w:rPr>
                                <w:rFonts w:hint="eastAsia"/>
                                <w:szCs w:val="24"/>
                              </w:rPr>
                            </w:pPr>
                            <w:r>
                              <w:rPr>
                                <w:rFonts w:hint="eastAsia"/>
                                <w:szCs w:val="24"/>
                              </w:rPr>
                              <w:t>项目名称：</w:t>
                            </w:r>
                          </w:p>
                          <w:p w14:paraId="08A84539">
                            <w:pPr>
                              <w:rPr>
                                <w:rFonts w:hint="eastAsia"/>
                                <w:color w:val="FF0000"/>
                                <w:sz w:val="28"/>
                                <w:szCs w:val="28"/>
                              </w:rPr>
                            </w:pPr>
                            <w:r>
                              <w:rPr>
                                <w:rFonts w:hint="eastAsia"/>
                                <w:sz w:val="28"/>
                                <w:szCs w:val="28"/>
                              </w:rPr>
                              <w:t xml:space="preserve">                            </w:t>
                            </w:r>
                          </w:p>
                          <w:p w14:paraId="40D6A311">
                            <w:pPr>
                              <w:jc w:val="center"/>
                              <w:rPr>
                                <w:rFonts w:hint="eastAsia"/>
                                <w:b/>
                                <w:sz w:val="44"/>
                                <w:szCs w:val="44"/>
                              </w:rPr>
                            </w:pPr>
                            <w:r>
                              <w:rPr>
                                <w:rFonts w:hint="eastAsia"/>
                                <w:b/>
                                <w:sz w:val="44"/>
                                <w:szCs w:val="44"/>
                              </w:rPr>
                              <w:t>报价一览表</w:t>
                            </w:r>
                          </w:p>
                          <w:p w14:paraId="25E31DF4">
                            <w:pPr>
                              <w:jc w:val="center"/>
                              <w:rPr>
                                <w:rFonts w:hint="eastAsia"/>
                                <w:szCs w:val="24"/>
                              </w:rPr>
                            </w:pPr>
                            <w:r>
                              <w:rPr>
                                <w:rFonts w:hint="eastAsia"/>
                                <w:szCs w:val="24"/>
                              </w:rPr>
                              <w:t>（开标时启封）</w:t>
                            </w:r>
                          </w:p>
                          <w:p w14:paraId="01D27E4B">
                            <w:pPr>
                              <w:rPr>
                                <w:rFonts w:hint="eastAsia"/>
                                <w:szCs w:val="24"/>
                              </w:rPr>
                            </w:pPr>
                            <w:r>
                              <w:rPr>
                                <w:rFonts w:hint="eastAsia"/>
                                <w:szCs w:val="24"/>
                                <w:lang w:eastAsia="zh-CN"/>
                              </w:rPr>
                              <w:t>供应商</w:t>
                            </w:r>
                            <w:r>
                              <w:rPr>
                                <w:rFonts w:hint="eastAsia"/>
                                <w:szCs w:val="24"/>
                              </w:rPr>
                              <w:t>全称：</w:t>
                            </w:r>
                            <w:r>
                              <w:rPr>
                                <w:rFonts w:hint="eastAsia"/>
                                <w:szCs w:val="24"/>
                                <w:u w:val="single"/>
                              </w:rPr>
                              <w:t xml:space="preserve">                   </w:t>
                            </w:r>
                            <w:r>
                              <w:rPr>
                                <w:rFonts w:hint="eastAsia"/>
                                <w:szCs w:val="24"/>
                              </w:rPr>
                              <w:t>（公章）</w:t>
                            </w:r>
                          </w:p>
                          <w:p w14:paraId="69761F27">
                            <w:pPr>
                              <w:pStyle w:val="13"/>
                              <w:ind w:left="0" w:leftChars="0" w:firstLine="0" w:firstLineChars="0"/>
                              <w:rPr>
                                <w:rFonts w:hint="eastAsia"/>
                                <w:sz w:val="21"/>
                                <w:szCs w:val="21"/>
                              </w:rPr>
                            </w:pPr>
                            <w:r>
                              <w:rPr>
                                <w:rFonts w:hint="eastAsia" w:ascii="Times New Roman" w:hAnsi="Times New Roman" w:eastAsia="宋体" w:cs="Times New Roman"/>
                                <w:color w:val="000000"/>
                                <w:kern w:val="2"/>
                                <w:sz w:val="21"/>
                                <w:szCs w:val="24"/>
                                <w:lang w:val="en-US" w:eastAsia="zh-CN" w:bidi="ar-SA"/>
                              </w:rPr>
                              <w:t>法定代表人或授权委托代理</w:t>
                            </w:r>
                            <w:r>
                              <w:rPr>
                                <w:rFonts w:hint="eastAsia" w:ascii="Times New Roman" w:hAnsi="Times New Roman" w:eastAsia="宋体" w:cs="Times New Roman"/>
                                <w:color w:val="000000"/>
                                <w:kern w:val="2"/>
                                <w:sz w:val="21"/>
                                <w:szCs w:val="21"/>
                                <w:lang w:val="en-US" w:eastAsia="zh-CN" w:bidi="ar-SA"/>
                              </w:rPr>
                              <w:t>人</w:t>
                            </w:r>
                            <w:r>
                              <w:rPr>
                                <w:rFonts w:hint="eastAsia" w:ascii="宋体" w:hAnsi="宋体"/>
                                <w:color w:val="000000"/>
                                <w:sz w:val="21"/>
                                <w:szCs w:val="21"/>
                              </w:rPr>
                              <w:t>（签字或盖章）：</w:t>
                            </w:r>
                          </w:p>
                          <w:p w14:paraId="25177B23">
                            <w:pPr>
                              <w:rPr>
                                <w:rFonts w:hint="eastAsia"/>
                                <w:szCs w:val="24"/>
                              </w:rPr>
                            </w:pPr>
                            <w:r>
                              <w:rPr>
                                <w:rFonts w:hint="eastAsia"/>
                                <w:szCs w:val="24"/>
                              </w:rPr>
                              <w:t xml:space="preserve">日      期：   年   月  日    </w:t>
                            </w:r>
                          </w:p>
                        </w:txbxContent>
                      </wps:txbx>
                      <wps:bodyPr upright="1"/>
                    </wps:wsp>
                  </a:graphicData>
                </a:graphic>
              </wp:anchor>
            </w:drawing>
          </mc:Choice>
          <mc:Fallback>
            <w:pict>
              <v:shape id="_x0000_s1026" o:spid="_x0000_s1026" o:spt="202" type="#_x0000_t202" style="position:absolute;left:0pt;margin-left:0pt;margin-top:9.6pt;height:236.05pt;width:411pt;z-index:251660288;mso-width-relative:page;mso-height-relative:page;" fillcolor="#FFFFFF" filled="t" stroked="t" coordsize="21600,21600" o:gfxdata="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rzdzWAAAABwEAAA8AAAAAAAAAAQAgAAAA&#10;IgAAAGRycy9kb3ducmV2LnhtbFBLAQIUABQAAAAIAIdO4kCPUw5lDQIAADcEAAAOAAAAAAAAAAEA&#10;IAAAACUBAABkcnMvZTJvRG9jLnhtbFBLBQYAAAAABgAGAFkBAACkBQAAAAA=&#10;">
                <v:fill on="t" focussize="0,0"/>
                <v:stroke color="#000000" joinstyle="miter"/>
                <v:imagedata o:title=""/>
                <o:lock v:ext="edit" aspectratio="f"/>
                <v:textbox>
                  <w:txbxContent>
                    <w:p w14:paraId="4E47C408">
                      <w:pPr>
                        <w:rPr>
                          <w:rFonts w:hint="eastAsia" w:eastAsia="宋体"/>
                          <w:szCs w:val="24"/>
                          <w:lang w:eastAsia="zh-CN"/>
                        </w:rPr>
                      </w:pPr>
                      <w:r>
                        <w:rPr>
                          <w:rFonts w:hint="eastAsia"/>
                          <w:szCs w:val="24"/>
                        </w:rPr>
                        <w:t>致：</w:t>
                      </w:r>
                      <w:r>
                        <w:rPr>
                          <w:rFonts w:hint="eastAsia" w:ascii="Times New Roman" w:hAnsi="Times New Roman" w:eastAsia="宋体" w:cs="Times New Roman"/>
                          <w:szCs w:val="24"/>
                          <w:lang w:eastAsia="zh-CN"/>
                        </w:rPr>
                        <w:t>华智建造价咨询有限公司</w:t>
                      </w:r>
                    </w:p>
                    <w:p w14:paraId="25E2BDBE">
                      <w:pPr>
                        <w:rPr>
                          <w:rFonts w:hint="eastAsia"/>
                          <w:szCs w:val="24"/>
                        </w:rPr>
                      </w:pPr>
                      <w:r>
                        <w:rPr>
                          <w:rFonts w:hint="eastAsia"/>
                          <w:szCs w:val="24"/>
                        </w:rPr>
                        <w:t>项目名称：</w:t>
                      </w:r>
                    </w:p>
                    <w:p w14:paraId="08A84539">
                      <w:pPr>
                        <w:rPr>
                          <w:rFonts w:hint="eastAsia"/>
                          <w:color w:val="FF0000"/>
                          <w:sz w:val="28"/>
                          <w:szCs w:val="28"/>
                        </w:rPr>
                      </w:pPr>
                      <w:r>
                        <w:rPr>
                          <w:rFonts w:hint="eastAsia"/>
                          <w:sz w:val="28"/>
                          <w:szCs w:val="28"/>
                        </w:rPr>
                        <w:t xml:space="preserve">                            </w:t>
                      </w:r>
                    </w:p>
                    <w:p w14:paraId="40D6A311">
                      <w:pPr>
                        <w:jc w:val="center"/>
                        <w:rPr>
                          <w:rFonts w:hint="eastAsia"/>
                          <w:b/>
                          <w:sz w:val="44"/>
                          <w:szCs w:val="44"/>
                        </w:rPr>
                      </w:pPr>
                      <w:r>
                        <w:rPr>
                          <w:rFonts w:hint="eastAsia"/>
                          <w:b/>
                          <w:sz w:val="44"/>
                          <w:szCs w:val="44"/>
                        </w:rPr>
                        <w:t>报价一览表</w:t>
                      </w:r>
                    </w:p>
                    <w:p w14:paraId="25E31DF4">
                      <w:pPr>
                        <w:jc w:val="center"/>
                        <w:rPr>
                          <w:rFonts w:hint="eastAsia"/>
                          <w:szCs w:val="24"/>
                        </w:rPr>
                      </w:pPr>
                      <w:r>
                        <w:rPr>
                          <w:rFonts w:hint="eastAsia"/>
                          <w:szCs w:val="24"/>
                        </w:rPr>
                        <w:t>（开标时启封）</w:t>
                      </w:r>
                    </w:p>
                    <w:p w14:paraId="01D27E4B">
                      <w:pPr>
                        <w:rPr>
                          <w:rFonts w:hint="eastAsia"/>
                          <w:szCs w:val="24"/>
                        </w:rPr>
                      </w:pPr>
                      <w:r>
                        <w:rPr>
                          <w:rFonts w:hint="eastAsia"/>
                          <w:szCs w:val="24"/>
                          <w:lang w:eastAsia="zh-CN"/>
                        </w:rPr>
                        <w:t>供应商</w:t>
                      </w:r>
                      <w:r>
                        <w:rPr>
                          <w:rFonts w:hint="eastAsia"/>
                          <w:szCs w:val="24"/>
                        </w:rPr>
                        <w:t>全称：</w:t>
                      </w:r>
                      <w:r>
                        <w:rPr>
                          <w:rFonts w:hint="eastAsia"/>
                          <w:szCs w:val="24"/>
                          <w:u w:val="single"/>
                        </w:rPr>
                        <w:t xml:space="preserve">                   </w:t>
                      </w:r>
                      <w:r>
                        <w:rPr>
                          <w:rFonts w:hint="eastAsia"/>
                          <w:szCs w:val="24"/>
                        </w:rPr>
                        <w:t>（公章）</w:t>
                      </w:r>
                    </w:p>
                    <w:p w14:paraId="69761F27">
                      <w:pPr>
                        <w:pStyle w:val="13"/>
                        <w:ind w:left="0" w:leftChars="0" w:firstLine="0" w:firstLineChars="0"/>
                        <w:rPr>
                          <w:rFonts w:hint="eastAsia"/>
                          <w:sz w:val="21"/>
                          <w:szCs w:val="21"/>
                        </w:rPr>
                      </w:pPr>
                      <w:r>
                        <w:rPr>
                          <w:rFonts w:hint="eastAsia" w:ascii="Times New Roman" w:hAnsi="Times New Roman" w:eastAsia="宋体" w:cs="Times New Roman"/>
                          <w:color w:val="000000"/>
                          <w:kern w:val="2"/>
                          <w:sz w:val="21"/>
                          <w:szCs w:val="24"/>
                          <w:lang w:val="en-US" w:eastAsia="zh-CN" w:bidi="ar-SA"/>
                        </w:rPr>
                        <w:t>法定代表人或授权委托代理</w:t>
                      </w:r>
                      <w:r>
                        <w:rPr>
                          <w:rFonts w:hint="eastAsia" w:ascii="Times New Roman" w:hAnsi="Times New Roman" w:eastAsia="宋体" w:cs="Times New Roman"/>
                          <w:color w:val="000000"/>
                          <w:kern w:val="2"/>
                          <w:sz w:val="21"/>
                          <w:szCs w:val="21"/>
                          <w:lang w:val="en-US" w:eastAsia="zh-CN" w:bidi="ar-SA"/>
                        </w:rPr>
                        <w:t>人</w:t>
                      </w:r>
                      <w:r>
                        <w:rPr>
                          <w:rFonts w:hint="eastAsia" w:ascii="宋体" w:hAnsi="宋体"/>
                          <w:color w:val="000000"/>
                          <w:sz w:val="21"/>
                          <w:szCs w:val="21"/>
                        </w:rPr>
                        <w:t>（签字或盖章）：</w:t>
                      </w:r>
                    </w:p>
                    <w:p w14:paraId="25177B23">
                      <w:pPr>
                        <w:rPr>
                          <w:rFonts w:hint="eastAsia"/>
                          <w:szCs w:val="24"/>
                        </w:rPr>
                      </w:pPr>
                      <w:r>
                        <w:rPr>
                          <w:rFonts w:hint="eastAsia"/>
                          <w:szCs w:val="24"/>
                        </w:rPr>
                        <w:t xml:space="preserve">日      期：   年   月  日    </w:t>
                      </w:r>
                    </w:p>
                  </w:txbxContent>
                </v:textbox>
              </v:shape>
            </w:pict>
          </mc:Fallback>
        </mc:AlternateContent>
      </w:r>
    </w:p>
    <w:p w14:paraId="5F86932A">
      <w:pPr>
        <w:spacing w:line="460" w:lineRule="exact"/>
        <w:ind w:firstLine="422" w:firstLineChars="200"/>
        <w:rPr>
          <w:rFonts w:hint="eastAsia" w:ascii="宋体" w:hAnsi="宋体" w:eastAsia="宋体" w:cs="宋体"/>
          <w:b/>
          <w:color w:val="auto"/>
          <w:highlight w:val="none"/>
          <w:shd w:val="clear" w:color="auto" w:fill="auto"/>
        </w:rPr>
      </w:pPr>
    </w:p>
    <w:p w14:paraId="7D36809C">
      <w:pPr>
        <w:spacing w:line="460" w:lineRule="exact"/>
        <w:ind w:firstLine="422" w:firstLineChars="200"/>
        <w:rPr>
          <w:rFonts w:hint="eastAsia" w:ascii="宋体" w:hAnsi="宋体" w:eastAsia="宋体" w:cs="宋体"/>
          <w:b/>
          <w:color w:val="auto"/>
          <w:highlight w:val="none"/>
          <w:shd w:val="clear" w:color="auto" w:fill="auto"/>
        </w:rPr>
      </w:pPr>
    </w:p>
    <w:p w14:paraId="03BDF408">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7101BD25">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0843C10B">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5B01A268">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676F96A6">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0A9D9047">
      <w:pPr>
        <w:spacing w:line="360" w:lineRule="atLeast"/>
        <w:ind w:firstLine="2108" w:firstLineChars="500"/>
        <w:rPr>
          <w:rFonts w:hint="eastAsia" w:ascii="宋体" w:hAnsi="宋体" w:eastAsia="宋体" w:cs="宋体"/>
          <w:b/>
          <w:color w:val="auto"/>
          <w:sz w:val="42"/>
          <w:szCs w:val="42"/>
          <w:highlight w:val="none"/>
          <w:shd w:val="clear" w:color="auto" w:fill="auto"/>
        </w:rPr>
      </w:pPr>
    </w:p>
    <w:p w14:paraId="3C111816">
      <w:pPr>
        <w:rPr>
          <w:rFonts w:hint="eastAsia" w:ascii="宋体" w:hAnsi="宋体" w:eastAsia="宋体" w:cs="宋体"/>
          <w:highlight w:val="none"/>
        </w:rPr>
      </w:pPr>
    </w:p>
    <w:sectPr>
      <w:pgSz w:w="11906" w:h="16838"/>
      <w:pgMar w:top="1440" w:right="1800" w:bottom="873" w:left="1800" w:header="1020"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F52D9">
    <w:pPr>
      <w:spacing w:line="240" w:lineRule="exact"/>
      <w:rPr>
        <w:i/>
        <w:iCs/>
        <w:sz w:val="18"/>
        <w:szCs w:val="18"/>
        <w:u w:val="single"/>
      </w:rPr>
    </w:pPr>
    <w:r>
      <w:rPr>
        <w:rFonts w:hint="eastAsia"/>
        <w:i/>
        <w:iCs/>
        <w:sz w:val="18"/>
        <w:szCs w:val="18"/>
        <w:u w:val="single"/>
      </w:rPr>
      <w:t>华春建设工程项目管理有限责任公司                                                       029-85330139</w:t>
    </w:r>
  </w:p>
  <w:p w14:paraId="3FD5654A">
    <w:pPr>
      <w:pStyle w:val="10"/>
      <w:jc w:val="center"/>
      <w:rPr>
        <w:b/>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F99E3">
    <w:pPr>
      <w:tabs>
        <w:tab w:val="right" w:pos="9049"/>
      </w:tabs>
      <w:spacing w:line="280" w:lineRule="exact"/>
      <w:rPr>
        <w:b/>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04D50">
    <w:pPr>
      <w:pStyle w:val="10"/>
      <w:rPr>
        <w:rFonts w:hint="eastAsia"/>
        <w:i/>
        <w:iC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B9F8D85">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0B9F8D85">
                    <w:pPr>
                      <w:pStyle w:val="10"/>
                    </w:pPr>
                    <w:r>
                      <w:fldChar w:fldCharType="begin"/>
                    </w:r>
                    <w:r>
                      <w:instrText xml:space="preserve"> PAGE  \* MERGEFORMAT </w:instrText>
                    </w:r>
                    <w:r>
                      <w:fldChar w:fldCharType="separate"/>
                    </w:r>
                    <w:r>
                      <w:t>1</w:t>
                    </w:r>
                    <w:r>
                      <w:fldChar w:fldCharType="end"/>
                    </w:r>
                  </w:p>
                </w:txbxContent>
              </v:textbox>
            </v:shape>
          </w:pict>
        </mc:Fallback>
      </mc:AlternateContent>
    </w:r>
    <w:r>
      <w:rPr>
        <w:i/>
        <w:iCs/>
      </w:rPr>
      <w:t>陕西易臻建设工程项目管理有限公司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DB864">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88BCDBE">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yezdItIBAACjAwAADgAAAAAAAAABACAAAAAi&#10;AQAAZHJzL2Uyb0RvYy54bWxQSwUGAAAAAAYABgBZAQAAZgUAAAAA&#10;">
              <v:fill on="f" focussize="0,0"/>
              <v:stroke on="f" weight="1.25pt"/>
              <v:imagedata o:title=""/>
              <o:lock v:ext="edit" aspectratio="f"/>
              <v:textbox inset="0mm,0mm,0mm,0mm" style="mso-fit-shape-to-text:t;">
                <w:txbxContent>
                  <w:p w14:paraId="588BCDBE">
                    <w:pPr>
                      <w:pStyle w:val="1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B7EC7">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01564D2">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14:paraId="401564D2">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0F4B8">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FB5A2">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87E31">
    <w:pPr>
      <w:pStyle w:val="12"/>
      <w:widowControl/>
      <w:spacing w:line="510" w:lineRule="atLeast"/>
      <w:rPr>
        <w:rFonts w:hint="eastAsia" w:eastAsia="宋体"/>
        <w:i/>
        <w:iCs/>
        <w:sz w:val="18"/>
        <w:szCs w:val="18"/>
        <w:u w:val="single"/>
        <w:lang w:eastAsia="zh-CN"/>
      </w:rPr>
    </w:pPr>
    <w:r>
      <w:rPr>
        <w:rFonts w:hint="eastAsia"/>
        <w:i/>
        <w:iCs/>
        <w:sz w:val="18"/>
        <w:szCs w:val="18"/>
        <w:u w:val="single"/>
      </w:rPr>
      <w:t xml:space="preserve">彬州市永久基本农田核实整改补足项目                                         </w:t>
    </w:r>
    <w:r>
      <w:rPr>
        <w:rFonts w:hint="eastAsia" w:ascii="宋体" w:hAnsi="宋体"/>
        <w:i/>
        <w:iCs/>
        <w:kern w:val="0"/>
        <w:sz w:val="18"/>
        <w:szCs w:val="18"/>
        <w:u w:val="single"/>
      </w:rPr>
      <w:t xml:space="preserve">                </w:t>
    </w:r>
    <w:r>
      <w:rPr>
        <w:rFonts w:hint="eastAsia"/>
        <w:i/>
        <w:iCs/>
        <w:sz w:val="18"/>
        <w:szCs w:val="18"/>
        <w:u w:val="single"/>
        <w:lang w:eastAsia="zh-CN"/>
      </w:rPr>
      <w:t>谈判文件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9D0FB">
    <w:pPr>
      <w:pStyle w:val="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E2627">
    <w:pPr>
      <w:pStyle w:val="2"/>
      <w:pBdr>
        <w:bottom w:val="none" w:color="auto" w:sz="0" w:space="0"/>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038C9">
    <w:pPr>
      <w:pStyle w:val="2"/>
      <w:pBdr>
        <w:bottom w:val="none" w:color="auto" w:sz="0" w:space="0"/>
      </w:pBdr>
      <w:jc w:val="both"/>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E9EF8">
    <w:pPr>
      <w:pStyle w:val="2"/>
      <w:pBdr>
        <w:bottom w:val="none" w:color="auto" w:sz="0" w:space="0"/>
      </w:pBdr>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92443">
    <w:pPr>
      <w:pStyle w:val="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42B14">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51E5F"/>
    <w:multiLevelType w:val="singleLevel"/>
    <w:tmpl w:val="84751E5F"/>
    <w:lvl w:ilvl="0" w:tentative="0">
      <w:start w:val="3"/>
      <w:numFmt w:val="chineseCounting"/>
      <w:suff w:val="space"/>
      <w:lvlText w:val="第%1章"/>
      <w:lvlJc w:val="left"/>
      <w:rPr>
        <w:rFonts w:hint="eastAsia"/>
      </w:rPr>
    </w:lvl>
  </w:abstractNum>
  <w:abstractNum w:abstractNumId="1">
    <w:nsid w:val="8F193A7E"/>
    <w:multiLevelType w:val="singleLevel"/>
    <w:tmpl w:val="8F193A7E"/>
    <w:lvl w:ilvl="0" w:tentative="0">
      <w:start w:val="2"/>
      <w:numFmt w:val="chineseCounting"/>
      <w:suff w:val="space"/>
      <w:lvlText w:val="第%1部分"/>
      <w:lvlJc w:val="left"/>
      <w:rPr>
        <w:rFonts w:hint="eastAsia"/>
      </w:rPr>
    </w:lvl>
  </w:abstractNum>
  <w:abstractNum w:abstractNumId="2">
    <w:nsid w:val="99F1EA61"/>
    <w:multiLevelType w:val="singleLevel"/>
    <w:tmpl w:val="99F1EA61"/>
    <w:lvl w:ilvl="0" w:tentative="0">
      <w:start w:val="3"/>
      <w:numFmt w:val="decimal"/>
      <w:suff w:val="nothing"/>
      <w:lvlText w:val="（%1）"/>
      <w:lvlJc w:val="left"/>
    </w:lvl>
  </w:abstractNum>
  <w:abstractNum w:abstractNumId="3">
    <w:nsid w:val="336719DF"/>
    <w:multiLevelType w:val="singleLevel"/>
    <w:tmpl w:val="336719DF"/>
    <w:lvl w:ilvl="0" w:tentative="0">
      <w:start w:val="1"/>
      <w:numFmt w:val="decimal"/>
      <w:lvlText w:val="%1."/>
      <w:lvlJc w:val="left"/>
      <w:pPr>
        <w:ind w:left="425" w:hanging="425"/>
      </w:pPr>
      <w:rPr>
        <w:rFonts w:hint="default"/>
      </w:rPr>
    </w:lvl>
  </w:abstractNum>
  <w:abstractNum w:abstractNumId="4">
    <w:nsid w:val="641759E4"/>
    <w:multiLevelType w:val="singleLevel"/>
    <w:tmpl w:val="641759E4"/>
    <w:lvl w:ilvl="0" w:tentative="0">
      <w:start w:val="1"/>
      <w:numFmt w:val="decimal"/>
      <w:suff w:val="nothing"/>
      <w:lvlText w:val="%1、"/>
      <w:lvlJc w:val="left"/>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C7DEF"/>
    <w:rsid w:val="072C183F"/>
    <w:rsid w:val="09042964"/>
    <w:rsid w:val="094612DB"/>
    <w:rsid w:val="09C474A0"/>
    <w:rsid w:val="0B3F6B65"/>
    <w:rsid w:val="0B42168A"/>
    <w:rsid w:val="0C4A5349"/>
    <w:rsid w:val="10216B24"/>
    <w:rsid w:val="106F63B8"/>
    <w:rsid w:val="1218372B"/>
    <w:rsid w:val="145B17C5"/>
    <w:rsid w:val="17A12F7E"/>
    <w:rsid w:val="17B629FE"/>
    <w:rsid w:val="188E3A9B"/>
    <w:rsid w:val="196B2C61"/>
    <w:rsid w:val="1B4961AA"/>
    <w:rsid w:val="1BCF0653"/>
    <w:rsid w:val="1C026332"/>
    <w:rsid w:val="22370CEE"/>
    <w:rsid w:val="2B0C5D1F"/>
    <w:rsid w:val="2DA90D81"/>
    <w:rsid w:val="2E26253B"/>
    <w:rsid w:val="333948D8"/>
    <w:rsid w:val="33D30B5A"/>
    <w:rsid w:val="33F75072"/>
    <w:rsid w:val="36244EB2"/>
    <w:rsid w:val="36C8508B"/>
    <w:rsid w:val="39422129"/>
    <w:rsid w:val="3A835F7F"/>
    <w:rsid w:val="3BDD0281"/>
    <w:rsid w:val="3E320C4C"/>
    <w:rsid w:val="3F0B5996"/>
    <w:rsid w:val="3FD07161"/>
    <w:rsid w:val="4387343D"/>
    <w:rsid w:val="441D752A"/>
    <w:rsid w:val="46F60A9F"/>
    <w:rsid w:val="4A1F71D6"/>
    <w:rsid w:val="4BD372AC"/>
    <w:rsid w:val="50B60EBE"/>
    <w:rsid w:val="520850C0"/>
    <w:rsid w:val="53EC0F7E"/>
    <w:rsid w:val="57B341DC"/>
    <w:rsid w:val="57C47D59"/>
    <w:rsid w:val="57FE20DB"/>
    <w:rsid w:val="5B000961"/>
    <w:rsid w:val="5C3B4B0C"/>
    <w:rsid w:val="5CFA0384"/>
    <w:rsid w:val="5DBF1DE2"/>
    <w:rsid w:val="628F3691"/>
    <w:rsid w:val="6347310A"/>
    <w:rsid w:val="63756753"/>
    <w:rsid w:val="644C1A15"/>
    <w:rsid w:val="682C15CF"/>
    <w:rsid w:val="69DF19AA"/>
    <w:rsid w:val="6B633598"/>
    <w:rsid w:val="6B6626FD"/>
    <w:rsid w:val="6DC6302A"/>
    <w:rsid w:val="70DC284E"/>
    <w:rsid w:val="72B974E5"/>
    <w:rsid w:val="75783D2F"/>
    <w:rsid w:val="771D6B9E"/>
    <w:rsid w:val="77ED77D9"/>
    <w:rsid w:val="78715547"/>
    <w:rsid w:val="78FE47EE"/>
    <w:rsid w:val="7AB454B4"/>
    <w:rsid w:val="7AB756AF"/>
    <w:rsid w:val="7BBA0721"/>
    <w:rsid w:val="7D3B6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keepNext/>
      <w:keepLines/>
      <w:spacing w:before="120" w:beforeLines="0" w:after="120" w:afterLines="0" w:line="360" w:lineRule="auto"/>
      <w:jc w:val="center"/>
      <w:outlineLvl w:val="0"/>
    </w:pPr>
    <w:rPr>
      <w:b/>
      <w:bCs/>
      <w:kern w:val="44"/>
      <w:sz w:val="30"/>
      <w:szCs w:val="44"/>
    </w:rPr>
  </w:style>
  <w:style w:type="paragraph" w:styleId="4">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7">
    <w:name w:val="Body Text"/>
    <w:basedOn w:val="1"/>
    <w:next w:val="1"/>
    <w:qFormat/>
    <w:uiPriority w:val="0"/>
    <w:rPr>
      <w:color w:val="993300"/>
      <w:sz w:val="24"/>
    </w:rPr>
  </w:style>
  <w:style w:type="paragraph" w:styleId="8">
    <w:name w:val="Body Text Indent"/>
    <w:basedOn w:val="1"/>
    <w:qFormat/>
    <w:uiPriority w:val="0"/>
    <w:pPr>
      <w:ind w:firstLine="480"/>
    </w:pPr>
    <w:rPr>
      <w:rFonts w:ascii="宋体" w:hAnsi="宋体"/>
    </w:rPr>
  </w:style>
  <w:style w:type="paragraph" w:styleId="9">
    <w:name w:val="Plain Text"/>
    <w:basedOn w:val="1"/>
    <w:qFormat/>
    <w:uiPriority w:val="99"/>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toc 1"/>
    <w:basedOn w:val="1"/>
    <w:next w:val="1"/>
    <w:qFormat/>
    <w:uiPriority w:val="0"/>
    <w:pPr>
      <w:tabs>
        <w:tab w:val="right" w:leader="middleDot" w:pos="9000"/>
      </w:tabs>
      <w:spacing w:line="700" w:lineRule="exact"/>
      <w:ind w:left="120" w:leftChars="57"/>
    </w:pPr>
  </w:style>
  <w:style w:type="paragraph" w:styleId="12">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13">
    <w:name w:val="Body Text First Indent"/>
    <w:basedOn w:val="7"/>
    <w:next w:val="14"/>
    <w:unhideWhenUsed/>
    <w:qFormat/>
    <w:uiPriority w:val="99"/>
    <w:pPr>
      <w:spacing w:after="120"/>
      <w:ind w:firstLine="420" w:firstLineChars="100"/>
    </w:pPr>
    <w:rPr>
      <w:sz w:val="22"/>
      <w:szCs w:val="22"/>
    </w:rPr>
  </w:style>
  <w:style w:type="paragraph" w:styleId="14">
    <w:name w:val="Body Text First Indent 2"/>
    <w:basedOn w:val="8"/>
    <w:qFormat/>
    <w:uiPriority w:val="0"/>
    <w:pPr>
      <w:ind w:firstLine="420" w:firstLineChars="200"/>
    </w:pPr>
  </w:style>
  <w:style w:type="table" w:styleId="16">
    <w:name w:val="Table Grid"/>
    <w:basedOn w:val="15"/>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
    <w:name w:val="Normal"/>
    <w:qFormat/>
    <w:uiPriority w:val="0"/>
    <w:pPr>
      <w:widowControl w:val="0"/>
      <w:adjustRightInd w:val="0"/>
      <w:spacing w:line="240" w:lineRule="atLeast"/>
      <w:jc w:val="both"/>
      <w:textAlignment w:val="baseline"/>
    </w:pPr>
    <w:rPr>
      <w:rFonts w:ascii="宋体" w:hAnsi="Times New Roman" w:eastAsia="宋体" w:cs="Times New Roman"/>
      <w:sz w:val="34"/>
      <w:lang w:val="en-US" w:eastAsia="zh-CN" w:bidi="ar-SA"/>
    </w:rPr>
  </w:style>
  <w:style w:type="paragraph" w:customStyle="1" w:styleId="19">
    <w:name w:val="null3"/>
    <w:qFormat/>
    <w:uiPriority w:val="0"/>
    <w:rPr>
      <w:rFonts w:hint="eastAsia" w:ascii="Calibri" w:hAnsi="Calibri" w:eastAsia="宋体" w:cs="Times New Roman"/>
      <w:lang w:val="en-US" w:eastAsia="zh-Hans"/>
    </w:rPr>
  </w:style>
  <w:style w:type="paragraph" w:customStyle="1" w:styleId="20">
    <w:name w:val="p15"/>
    <w:basedOn w:val="1"/>
    <w:qFormat/>
    <w:uiPriority w:val="99"/>
    <w:pPr>
      <w:widowControl/>
      <w:spacing w:line="360" w:lineRule="auto"/>
      <w:jc w:val="left"/>
    </w:pPr>
    <w:rPr>
      <w:kern w:val="0"/>
      <w:szCs w:val="24"/>
    </w:rPr>
  </w:style>
  <w:style w:type="paragraph" w:customStyle="1" w:styleId="21">
    <w:name w:val="4"/>
    <w:basedOn w:val="1"/>
    <w:next w:val="22"/>
    <w:qFormat/>
    <w:uiPriority w:val="34"/>
    <w:pPr>
      <w:ind w:firstLine="420" w:firstLineChars="200"/>
    </w:pPr>
  </w:style>
  <w:style w:type="paragraph" w:styleId="22">
    <w:name w:val="List Paragraph"/>
    <w:basedOn w:val="1"/>
    <w:qFormat/>
    <w:uiPriority w:val="0"/>
    <w:pPr>
      <w:widowControl/>
      <w:spacing w:line="240" w:lineRule="auto"/>
      <w:ind w:left="720"/>
      <w:contextualSpacing/>
      <w:jc w:val="left"/>
    </w:pPr>
    <w:rPr>
      <w:rFonts w:ascii="Calibri" w:hAnsi="Calibri"/>
      <w:kern w:val="0"/>
      <w:sz w:val="24"/>
      <w:lang w:eastAsia="en-US" w:bidi="en-US"/>
    </w:rPr>
  </w:style>
  <w:style w:type="paragraph" w:customStyle="1" w:styleId="23">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24">
    <w:name w:val="正文 New"/>
    <w:qFormat/>
    <w:uiPriority w:val="99"/>
    <w:pPr>
      <w:widowControl w:val="0"/>
      <w:jc w:val="both"/>
    </w:pPr>
    <w:rPr>
      <w:rFonts w:ascii="Calibri" w:hAnsi="Calibri" w:eastAsia="宋体" w:cs="Times New Roman"/>
      <w:lang w:val="en-US" w:eastAsia="zh-CN" w:bidi="ar-SA"/>
    </w:rPr>
  </w:style>
  <w:style w:type="paragraph" w:customStyle="1" w:styleId="25">
    <w:name w:val="首行缩进"/>
    <w:basedOn w:val="1"/>
    <w:qFormat/>
    <w:uiPriority w:val="0"/>
    <w:pPr>
      <w:ind w:firstLine="480" w:firstLineChars="200"/>
    </w:pPr>
  </w:style>
  <w:style w:type="paragraph" w:customStyle="1" w:styleId="26">
    <w:name w:val="Table Text"/>
    <w:basedOn w:val="1"/>
    <w:semiHidden/>
    <w:qFormat/>
    <w:uiPriority w:val="0"/>
    <w:rPr>
      <w:rFonts w:ascii="楷体" w:hAnsi="楷体" w:eastAsia="楷体" w:cs="楷体"/>
      <w:sz w:val="28"/>
      <w:szCs w:val="28"/>
      <w:lang w:eastAsia="en-US"/>
    </w:rPr>
  </w:style>
  <w:style w:type="table" w:customStyle="1" w:styleId="27">
    <w:name w:val="Table Normal"/>
    <w:unhideWhenUsed/>
    <w:qFormat/>
    <w:uiPriority w:val="0"/>
    <w:tblPr>
      <w:tblCellMar>
        <w:top w:w="0" w:type="dxa"/>
        <w:left w:w="0" w:type="dxa"/>
        <w:bottom w:w="0" w:type="dxa"/>
        <w:right w:w="0" w:type="dxa"/>
      </w:tblCellMar>
    </w:tblPr>
  </w:style>
  <w:style w:type="paragraph" w:customStyle="1" w:styleId="28">
    <w:name w:val="正文_0"/>
    <w:qFormat/>
    <w:uiPriority w:val="0"/>
    <w:rPr>
      <w:rFonts w:ascii="Times New Roman" w:hAnsi="Times New Roman" w:eastAsia="宋体" w:cs="Times New Roman"/>
      <w:sz w:val="21"/>
      <w:szCs w:val="22"/>
      <w:lang w:val="en-US" w:eastAsia="zh-CN" w:bidi="ar-SA"/>
    </w:rPr>
  </w:style>
  <w:style w:type="character" w:customStyle="1" w:styleId="29">
    <w:name w:val="font21"/>
    <w:basedOn w:val="17"/>
    <w:qFormat/>
    <w:uiPriority w:val="0"/>
    <w:rPr>
      <w:rFonts w:hint="eastAsia" w:ascii="仿宋" w:hAnsi="仿宋" w:eastAsia="仿宋" w:cs="仿宋"/>
      <w:color w:val="000000"/>
      <w:sz w:val="18"/>
      <w:szCs w:val="18"/>
      <w:u w:val="none"/>
    </w:rPr>
  </w:style>
  <w:style w:type="character" w:customStyle="1" w:styleId="30">
    <w:name w:val="标题 1 Char"/>
    <w:link w:val="3"/>
    <w:qFormat/>
    <w:uiPriority w:val="0"/>
    <w:rPr>
      <w:b/>
      <w:bCs/>
      <w:kern w:val="44"/>
      <w:sz w:val="30"/>
      <w:szCs w:val="44"/>
    </w:rPr>
  </w:style>
  <w:style w:type="paragraph" w:customStyle="1" w:styleId="31">
    <w:name w:val="No Spacing2"/>
    <w:qFormat/>
    <w:uiPriority w:val="99"/>
    <w:rPr>
      <w:rFonts w:ascii="Calibri" w:hAnsi="Calibri" w:eastAsia="宋体" w:cs="Times New Roman"/>
      <w:sz w:val="22"/>
      <w:szCs w:val="22"/>
      <w:lang w:val="en-US" w:eastAsia="en-US" w:bidi="ar-SA"/>
    </w:rPr>
  </w:style>
  <w:style w:type="paragraph" w:customStyle="1" w:styleId="32">
    <w:name w:val="样式2"/>
    <w:basedOn w:val="33"/>
    <w:qFormat/>
    <w:uiPriority w:val="0"/>
    <w:pPr>
      <w:spacing w:before="50" w:after="50" w:line="560" w:lineRule="exact"/>
      <w:ind w:firstLine="643" w:firstLineChars="200"/>
      <w:jc w:val="both"/>
      <w:outlineLvl w:val="9"/>
    </w:pPr>
    <w:rPr>
      <w:rFonts w:ascii="仿宋_GB2312" w:hAnsi="仿宋_GB2312" w:eastAsia="仿宋_GB2312"/>
      <w:b/>
      <w:bCs/>
      <w:szCs w:val="32"/>
    </w:rPr>
  </w:style>
  <w:style w:type="paragraph" w:customStyle="1" w:styleId="33">
    <w:name w:val="@标题"/>
    <w:basedOn w:val="1"/>
    <w:next w:val="34"/>
    <w:qFormat/>
    <w:uiPriority w:val="0"/>
    <w:pPr>
      <w:keepNext/>
      <w:spacing w:beforeLines="50" w:afterLines="50"/>
      <w:jc w:val="center"/>
      <w:outlineLvl w:val="1"/>
    </w:pPr>
    <w:rPr>
      <w:rFonts w:ascii="Calibri" w:hAnsi="Calibri" w:eastAsia="黑体"/>
      <w:kern w:val="32"/>
      <w:sz w:val="32"/>
    </w:rPr>
  </w:style>
  <w:style w:type="paragraph" w:customStyle="1" w:styleId="34">
    <w:name w:val="@正文"/>
    <w:basedOn w:val="35"/>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35">
    <w:name w:val="※正文"/>
    <w:basedOn w:val="1"/>
    <w:next w:val="1"/>
    <w:qFormat/>
    <w:uiPriority w:val="0"/>
    <w:pPr>
      <w:wordWrap w:val="0"/>
      <w:spacing w:line="400" w:lineRule="exact"/>
    </w:pPr>
    <w:rPr>
      <w:rFonts w:ascii="Calibri Light" w:hAnsi="Calibri Light" w:eastAsia="华文仿宋"/>
      <w:sz w:val="28"/>
      <w:szCs w:val="28"/>
    </w:rPr>
  </w:style>
  <w:style w:type="table" w:customStyle="1" w:styleId="36">
    <w:name w:val="网格型1"/>
    <w:basedOn w:val="15"/>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7">
    <w:name w:val="Normal_34_0"/>
    <w:qFormat/>
    <w:uiPriority w:val="99"/>
    <w:pPr>
      <w:spacing w:before="120" w:after="240"/>
      <w:jc w:val="both"/>
    </w:pPr>
    <w:rPr>
      <w:rFonts w:ascii="Times New Roman" w:hAnsi="Times New Roman"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102</Pages>
  <Words>16106</Words>
  <Characters>16757</Characters>
  <Lines>0</Lines>
  <Paragraphs>0</Paragraphs>
  <TotalTime>4</TotalTime>
  <ScaleCrop>false</ScaleCrop>
  <LinksUpToDate>false</LinksUpToDate>
  <CharactersWithSpaces>17421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2026-06-04T03:22:00Z</dcterms:created>
  <dc:creator>Administrator</dc:creator>
  <cp:lastModifiedBy>Administrator</cp:lastModifiedBy>
  <dcterms:modified xsi:type="dcterms:W3CDTF">2026-06-08T06:56:54Z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eyJoZGlkIjoiM2M3YmM1OGNmOGNiMzQ4MzRkYmEyYmRiMGU3NGRmOWEiLCJ1c2VySWQiOiI0MDEwMDUwODcifQ==</vt:lpwstr>
  </property>
  <property fmtid="{D5CDD505-2E9C-101B-9397-08002B2CF9AE}" pid="4" name="ICV">
    <vt:lpwstr>B169D346439F42468ED95FA140EC1FBA_12</vt:lpwstr>
  </property>
</Properties>
</file>